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222B2" w14:textId="77777777" w:rsidR="00624D44" w:rsidRDefault="008341FE">
      <w:pPr>
        <w:widowControl w:val="0"/>
        <w:tabs>
          <w:tab w:val="left" w:pos="9071"/>
        </w:tabs>
        <w:spacing w:after="0"/>
        <w:ind w:left="114"/>
        <w:jc w:val="center"/>
        <w:rPr>
          <w:rFonts w:ascii="Times New Roman" w:hAnsi="Times New Roman" w:cs="Times New Roman"/>
          <w:sz w:val="24"/>
          <w:lang w:val="pt-PT"/>
        </w:rPr>
      </w:pPr>
      <w:r>
        <w:rPr>
          <w:noProof/>
        </w:rPr>
        <w:drawing>
          <wp:inline distT="0" distB="0" distL="0" distR="0" wp14:anchorId="29EAB1C4" wp14:editId="2BB287D8">
            <wp:extent cx="797560" cy="8509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9F8EE" w14:textId="77777777" w:rsidR="00624D44" w:rsidRDefault="008341FE">
      <w:pPr>
        <w:widowControl w:val="0"/>
        <w:spacing w:after="0" w:line="216" w:lineRule="auto"/>
        <w:jc w:val="center"/>
        <w:rPr>
          <w:rFonts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MINISTÉRIO DA DEFESA</w:t>
      </w:r>
    </w:p>
    <w:p w14:paraId="5B4F9C60" w14:textId="77777777" w:rsidR="00624D44" w:rsidRDefault="008341FE">
      <w:pPr>
        <w:widowControl w:val="0"/>
        <w:spacing w:after="0" w:line="216" w:lineRule="auto"/>
        <w:jc w:val="center"/>
        <w:rPr>
          <w:rFonts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EXÉRCITO BRASILEIRO</w:t>
      </w:r>
    </w:p>
    <w:p w14:paraId="182EE785" w14:textId="77777777" w:rsidR="00624D44" w:rsidRDefault="008341FE">
      <w:pPr>
        <w:widowControl w:val="0"/>
        <w:spacing w:after="0" w:line="216" w:lineRule="auto"/>
        <w:jc w:val="center"/>
        <w:rPr>
          <w:rFonts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DEPARTAMENTO DE CIENCIA E TECNOLOGIA</w:t>
      </w:r>
    </w:p>
    <w:p w14:paraId="5A748838" w14:textId="77777777" w:rsidR="00624D44" w:rsidRDefault="008341FE">
      <w:pPr>
        <w:widowControl w:val="0"/>
        <w:spacing w:after="0" w:line="216" w:lineRule="auto"/>
        <w:jc w:val="center"/>
        <w:rPr>
          <w:rFonts w:cs="Times New Roman"/>
          <w:b/>
          <w:bCs/>
          <w:lang w:val="pt-PT"/>
        </w:rPr>
      </w:pPr>
      <w:r>
        <w:rPr>
          <w:rFonts w:ascii="Times New Roman" w:hAnsi="Times New Roman" w:cs="Times New Roman"/>
          <w:b/>
          <w:bCs/>
          <w:lang w:val="pt-PT"/>
        </w:rPr>
        <w:t>CENTRO TECNOLÓGICO DO EXÉRCITO</w:t>
      </w:r>
    </w:p>
    <w:p w14:paraId="439AC14F" w14:textId="77777777" w:rsidR="00624D44" w:rsidRDefault="008341FE">
      <w:pPr>
        <w:widowControl w:val="0"/>
        <w:spacing w:after="0" w:line="216" w:lineRule="auto"/>
        <w:jc w:val="center"/>
        <w:rPr>
          <w:rFonts w:cs="Arial"/>
          <w:b/>
          <w:bCs/>
          <w:color w:val="000000"/>
          <w:lang w:val="pt-PT"/>
        </w:rPr>
      </w:pPr>
      <w:bookmarkStart w:id="0" w:name="_Hlk81386706"/>
      <w:bookmarkEnd w:id="0"/>
      <w:r>
        <w:rPr>
          <w:rFonts w:ascii="Times New Roman" w:hAnsi="Times New Roman" w:cs="Arial"/>
          <w:b/>
          <w:bCs/>
          <w:color w:val="000000"/>
          <w:lang w:val="pt-PT"/>
        </w:rPr>
        <w:t>CENTRO TECNOLÓGICO GENERAL ARGUS</w:t>
      </w:r>
    </w:p>
    <w:p w14:paraId="22F6BBEF" w14:textId="77777777" w:rsidR="00624D44" w:rsidRDefault="00624D44">
      <w:pPr>
        <w:spacing w:after="0" w:line="276" w:lineRule="auto"/>
        <w:jc w:val="center"/>
        <w:rPr>
          <w:rFonts w:ascii="Times New Roman" w:hAnsi="Times New Roman" w:cs="Arial"/>
          <w:b/>
          <w:bCs/>
          <w:color w:val="000000"/>
        </w:rPr>
      </w:pPr>
    </w:p>
    <w:p w14:paraId="6E947732" w14:textId="77777777" w:rsidR="00624D44" w:rsidRDefault="008341FE">
      <w:pPr>
        <w:spacing w:after="0" w:line="276" w:lineRule="auto"/>
        <w:jc w:val="center"/>
        <w:rPr>
          <w:rFonts w:cs="Arial"/>
          <w:b/>
          <w:bCs/>
          <w:color w:val="000000"/>
        </w:rPr>
      </w:pPr>
      <w:r>
        <w:rPr>
          <w:rFonts w:ascii="Times New Roman" w:hAnsi="Times New Roman" w:cs="Arial"/>
          <w:b/>
          <w:bCs/>
          <w:color w:val="000000" w:themeColor="text1"/>
        </w:rPr>
        <w:t>TERMO DE REFERÊNCIA</w:t>
      </w:r>
    </w:p>
    <w:p w14:paraId="50AD9BEB" w14:textId="77777777" w:rsidR="00624D44" w:rsidRDefault="008341FE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color w:val="000000" w:themeColor="text1"/>
        </w:rPr>
        <w:t>Dispensa Eletrônica Nº</w:t>
      </w:r>
      <w:r>
        <w:rPr>
          <w:rFonts w:ascii="Times New Roman" w:hAnsi="Times New Roman" w:cs="Arial"/>
          <w:b/>
          <w:bCs/>
          <w:color w:val="000000" w:themeColor="text1"/>
        </w:rPr>
        <w:t xml:space="preserve"> </w:t>
      </w:r>
      <w:r>
        <w:rPr>
          <w:rFonts w:ascii="Times New Roman" w:hAnsi="Times New Roman" w:cs="Arial"/>
          <w:b/>
          <w:bCs/>
          <w:color w:val="000000"/>
        </w:rPr>
        <w:t>12</w:t>
      </w:r>
      <w:r>
        <w:rPr>
          <w:rFonts w:ascii="Times New Roman" w:hAnsi="Times New Roman" w:cs="Arial"/>
          <w:b/>
          <w:bCs/>
          <w:color w:val="000000" w:themeColor="text1"/>
        </w:rPr>
        <w:t>/2023</w:t>
      </w:r>
    </w:p>
    <w:p w14:paraId="2F436FCC" w14:textId="77777777" w:rsidR="00624D44" w:rsidRDefault="008341FE">
      <w:pPr>
        <w:spacing w:after="0" w:line="276" w:lineRule="auto"/>
        <w:ind w:right="-15"/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color w:val="000000" w:themeColor="text1"/>
        </w:rPr>
        <w:t>(Processo Administrativo</w:t>
      </w:r>
      <w:r>
        <w:rPr>
          <w:rFonts w:ascii="Times New Roman" w:hAnsi="Times New Roman" w:cs="Arial"/>
          <w:b/>
          <w:bCs/>
          <w:color w:val="000000" w:themeColor="text1"/>
        </w:rPr>
        <w:t xml:space="preserve"> n. º </w:t>
      </w:r>
      <w:r>
        <w:rPr>
          <w:rFonts w:ascii="Times New Roman" w:hAnsi="Times New Roman" w:cs="Arial"/>
          <w:b/>
          <w:bCs/>
          <w:color w:val="000000"/>
        </w:rPr>
        <w:t>64219</w:t>
      </w:r>
      <w:r>
        <w:rPr>
          <w:rFonts w:ascii="Times New Roman" w:hAnsi="Times New Roman" w:cs="Arial"/>
          <w:b/>
          <w:bCs/>
          <w:color w:val="000000" w:themeColor="text1"/>
        </w:rPr>
        <w:t>.</w:t>
      </w:r>
      <w:r>
        <w:rPr>
          <w:rFonts w:ascii="Times New Roman" w:hAnsi="Times New Roman" w:cs="Arial"/>
          <w:b/>
          <w:bCs/>
          <w:color w:val="000000"/>
        </w:rPr>
        <w:t>002939</w:t>
      </w:r>
      <w:r>
        <w:rPr>
          <w:rFonts w:ascii="Times New Roman" w:hAnsi="Times New Roman" w:cs="Arial"/>
          <w:b/>
          <w:bCs/>
          <w:color w:val="000000" w:themeColor="text1"/>
        </w:rPr>
        <w:t>/2023-</w:t>
      </w:r>
      <w:proofErr w:type="gramStart"/>
      <w:r>
        <w:rPr>
          <w:rFonts w:ascii="Times New Roman" w:hAnsi="Times New Roman" w:cs="Arial"/>
          <w:b/>
          <w:bCs/>
          <w:color w:val="000000"/>
        </w:rPr>
        <w:t>31</w:t>
      </w:r>
      <w:r>
        <w:rPr>
          <w:rFonts w:ascii="Times New Roman" w:hAnsi="Times New Roman" w:cs="Arial"/>
          <w:b/>
          <w:bCs/>
          <w:color w:val="000000" w:themeColor="text1"/>
        </w:rPr>
        <w:t xml:space="preserve"> )</w:t>
      </w:r>
      <w:proofErr w:type="gramEnd"/>
    </w:p>
    <w:p w14:paraId="4924AE64" w14:textId="77777777" w:rsidR="00624D44" w:rsidRDefault="00624D44">
      <w:pPr>
        <w:spacing w:after="0" w:line="276" w:lineRule="auto"/>
        <w:jc w:val="center"/>
        <w:rPr>
          <w:rFonts w:ascii="Times New Roman" w:hAnsi="Times New Roman" w:cs="Arial"/>
          <w:b/>
          <w:bCs/>
          <w:i/>
          <w:color w:val="FF0000"/>
        </w:rPr>
      </w:pPr>
    </w:p>
    <w:p w14:paraId="1F42FE88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DAS CONDIÇÕES GERAIS DA CONTRATAÇÃO (art. 6º, XXIII, “a” e “i”</w:t>
      </w:r>
      <w:r>
        <w:rPr>
          <w:rFonts w:ascii="Times New Roman" w:hAnsi="Times New Roman"/>
          <w:sz w:val="22"/>
          <w:szCs w:val="22"/>
        </w:rPr>
        <w:t xml:space="preserve"> da Lei n. 14.133/2021).</w:t>
      </w:r>
    </w:p>
    <w:p w14:paraId="682B76D4" w14:textId="77777777" w:rsidR="00624D44" w:rsidRDefault="00624D44">
      <w:pPr>
        <w:pStyle w:val="PargrafodaLista"/>
        <w:spacing w:after="0" w:line="276" w:lineRule="auto"/>
        <w:ind w:left="716"/>
        <w:jc w:val="both"/>
        <w:rPr>
          <w:rFonts w:ascii="Times New Roman" w:hAnsi="Times New Roman" w:cs="Arial"/>
          <w:b/>
          <w:iCs/>
        </w:rPr>
      </w:pPr>
    </w:p>
    <w:p w14:paraId="667A9188" w14:textId="77777777" w:rsidR="00624D44" w:rsidRDefault="008341FE">
      <w:pPr>
        <w:pStyle w:val="PargrafodaLista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iCs/>
        </w:rPr>
        <w:t>Aquisição de</w:t>
      </w:r>
      <w:r>
        <w:rPr>
          <w:rFonts w:ascii="Times New Roman" w:hAnsi="Times New Roman" w:cs="Arial"/>
          <w:iCs/>
          <w:color w:val="FF0000"/>
        </w:rPr>
        <w:t xml:space="preserve"> </w:t>
      </w:r>
      <w:r>
        <w:rPr>
          <w:rFonts w:ascii="Times New Roman" w:hAnsi="Times New Roman" w:cs="Arial"/>
          <w:iCs/>
          <w:color w:val="000000"/>
        </w:rPr>
        <w:t xml:space="preserve">material de </w:t>
      </w:r>
      <w:r>
        <w:rPr>
          <w:rFonts w:ascii="Times New Roman" w:hAnsi="Times New Roman" w:cs="Arial"/>
          <w:iCs/>
          <w:color w:val="000000"/>
        </w:rPr>
        <w:t xml:space="preserve">higiene </w:t>
      </w:r>
      <w:r>
        <w:rPr>
          <w:rFonts w:ascii="Times New Roman" w:hAnsi="Times New Roman" w:cs="Arial"/>
          <w:iCs/>
          <w:color w:val="000000"/>
        </w:rPr>
        <w:t>e limpeza</w:t>
      </w:r>
      <w:r>
        <w:rPr>
          <w:rFonts w:ascii="Times New Roman" w:hAnsi="Times New Roman" w:cs="Arial"/>
          <w:b/>
          <w:iCs/>
        </w:rPr>
        <w:t>,</w:t>
      </w:r>
      <w:r>
        <w:rPr>
          <w:rFonts w:ascii="Times New Roman" w:hAnsi="Times New Roman" w:cs="Arial"/>
          <w:iCs/>
        </w:rPr>
        <w:t xml:space="preserve"> nos termos da tabela abaixo, conforme condições e exigências estabelecidas neste instrumento.</w:t>
      </w:r>
    </w:p>
    <w:p w14:paraId="072E0B8A" w14:textId="77777777" w:rsidR="00624D44" w:rsidRDefault="00624D44">
      <w:pPr>
        <w:pStyle w:val="PargrafodaLista"/>
        <w:spacing w:after="0" w:line="276" w:lineRule="auto"/>
        <w:jc w:val="both"/>
        <w:rPr>
          <w:rFonts w:ascii="Times New Roman" w:hAnsi="Times New Roman" w:cs="Arial"/>
          <w:iCs/>
        </w:rPr>
      </w:pPr>
    </w:p>
    <w:tbl>
      <w:tblPr>
        <w:tblW w:w="9075" w:type="dxa"/>
        <w:jc w:val="center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95"/>
        <w:gridCol w:w="2385"/>
        <w:gridCol w:w="1065"/>
        <w:gridCol w:w="1166"/>
        <w:gridCol w:w="1504"/>
        <w:gridCol w:w="1185"/>
        <w:gridCol w:w="975"/>
      </w:tblGrid>
      <w:tr w:rsidR="00624D44" w14:paraId="5FB0C6E5" w14:textId="77777777">
        <w:trPr>
          <w:jc w:val="center"/>
        </w:trPr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0C7D6DA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42E43BD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48D88C5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18"/>
                <w:szCs w:val="18"/>
              </w:rPr>
              <w:t>CATMAT</w:t>
            </w:r>
          </w:p>
        </w:tc>
        <w:tc>
          <w:tcPr>
            <w:tcW w:w="1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368C81E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4761544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ascii="Times New Roman" w:hAnsi="Times New Roman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7BEA6F2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ascii="Times New Roman" w:hAnsi="Times New Roman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6BB6D25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624D44" w14:paraId="6446E8C7" w14:textId="77777777">
        <w:trPr>
          <w:jc w:val="center"/>
        </w:trPr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CB374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E156554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Álcool etílico, tipo hidratado, teor alcoólico 70% (70”GL), </w:t>
            </w:r>
            <w:r>
              <w:rPr>
                <w:rFonts w:ascii="Times New Roman" w:hAnsi="Times New Roman" w:cs="Arial"/>
                <w:sz w:val="20"/>
                <w:szCs w:val="20"/>
              </w:rPr>
              <w:t>apresentação: líquido</w:t>
            </w:r>
          </w:p>
        </w:tc>
        <w:tc>
          <w:tcPr>
            <w:tcW w:w="1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DD37F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269941</w:t>
            </w:r>
          </w:p>
        </w:tc>
        <w:tc>
          <w:tcPr>
            <w:tcW w:w="1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B98AA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6309D74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1000 ml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B95979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4E6386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8,73</w:t>
            </w:r>
          </w:p>
        </w:tc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0F9800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2.619,00</w:t>
            </w:r>
          </w:p>
        </w:tc>
      </w:tr>
      <w:tr w:rsidR="00624D44" w14:paraId="1964FE22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5CFDA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D7B9D98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Álcool etílico, tipo: hidratado, </w:t>
            </w:r>
            <w:proofErr w:type="gramStart"/>
            <w:r>
              <w:rPr>
                <w:rFonts w:ascii="Times New Roman" w:hAnsi="Times New Roman" w:cs="Arial"/>
                <w:sz w:val="20"/>
                <w:szCs w:val="20"/>
              </w:rPr>
              <w:t>teor  alcoólico</w:t>
            </w:r>
            <w:proofErr w:type="gramEnd"/>
            <w:r>
              <w:rPr>
                <w:rFonts w:ascii="Times New Roman" w:hAnsi="Times New Roman" w:cs="Arial"/>
                <w:sz w:val="20"/>
                <w:szCs w:val="20"/>
              </w:rPr>
              <w:t>:70% (70¨gl), apresentação: gel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A59DDB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269943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49A5A0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207C245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58A219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37D32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9,24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BAD7B6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1.848,00</w:t>
            </w:r>
          </w:p>
        </w:tc>
      </w:tr>
      <w:tr w:rsidR="00624D44" w14:paraId="0EBC9EAB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27629A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28DA9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Anticorrosivo, apresentação spray, aspecto físico líquido, WD 40, </w:t>
            </w:r>
            <w:r>
              <w:rPr>
                <w:rFonts w:ascii="Times New Roman" w:hAnsi="Times New Roman" w:cs="Arial"/>
                <w:sz w:val="20"/>
                <w:szCs w:val="20"/>
              </w:rPr>
              <w:t>inofensivo para a camada de ozônio, inibidor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55998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349296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AF0D53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3430B01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AE1429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EC496F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21,36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6DF473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1.068,00</w:t>
            </w:r>
          </w:p>
        </w:tc>
      </w:tr>
      <w:tr w:rsidR="00624D44" w14:paraId="27EF7D24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1FBFB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E0BA9A6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Cera, tipo: líquida, cor: incolor leitoso, composição: a base de água, carnaúba e resinas metalizadas, características adicionais: antiderrapante, </w:t>
            </w:r>
            <w:r>
              <w:rPr>
                <w:rFonts w:ascii="Times New Roman" w:hAnsi="Times New Roman" w:cs="Arial"/>
                <w:sz w:val="20"/>
                <w:szCs w:val="20"/>
              </w:rPr>
              <w:t>impermeabilizante, aplicação: limpeza de pisos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78260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292586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58143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7A0C5FD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750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C69D7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994410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5,74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8FEFCE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574,00</w:t>
            </w:r>
          </w:p>
        </w:tc>
      </w:tr>
      <w:tr w:rsidR="00624D44" w14:paraId="3896BFA6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9A0969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BEB1EC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Cesto lixo, material: plástico, capacidade: 10l, características adicionais: telado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EBC56A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289422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54BC5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FCA9C6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ADE7E0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6,62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966468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331,00</w:t>
            </w:r>
          </w:p>
        </w:tc>
      </w:tr>
      <w:tr w:rsidR="00624D44" w14:paraId="6D75EC1D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A43234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AD9B82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Copo descartável, material: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polipropileno, capacidade: 200 ml, aplicação: líquidos frios e quentes, características adicionais: atóxico, de acordo c/ norma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abnt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nbr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 14865, cor: branco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33AAF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419219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83265F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Caixa</w:t>
            </w:r>
          </w:p>
          <w:p w14:paraId="507DF92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2500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BCC8A9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ED7D8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114,75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F56022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2.295,00</w:t>
            </w:r>
          </w:p>
        </w:tc>
      </w:tr>
      <w:tr w:rsidR="00624D44" w14:paraId="678B6062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FF006C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641C077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Desinfetante, a base de quaternário de amônio, </w:t>
            </w:r>
            <w:r>
              <w:rPr>
                <w:rFonts w:ascii="Times New Roman" w:hAnsi="Times New Roman" w:cs="Arial"/>
                <w:sz w:val="20"/>
                <w:szCs w:val="20"/>
              </w:rPr>
              <w:t>solução aquosa concentrada, com aroma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3814E7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420084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AC6F7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 Litro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3D1DA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A70E9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10,05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E8AEEC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3.015,00</w:t>
            </w:r>
          </w:p>
        </w:tc>
      </w:tr>
      <w:tr w:rsidR="00624D44" w14:paraId="044F2A31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8FD88D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1774F89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Desinfetante, a base de quaternário de amônio, solução aquosa concentrada, com aroma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93313C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381409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8AD7C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Galão</w:t>
            </w:r>
          </w:p>
          <w:p w14:paraId="24845A9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 litros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493109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EF64B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33,39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2F88D3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2.003,40</w:t>
            </w:r>
          </w:p>
        </w:tc>
      </w:tr>
      <w:tr w:rsidR="00624D44" w14:paraId="015A19B6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1242C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3990093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Desodorante aromatizante de ambiente, tipo: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aerosol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>, aroma: lavanda, uso: geral, características adicionais: biodegradável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B7BC1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234431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6B7195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695402E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400ml/240gr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016D0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C190F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8,49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8E26C1A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2.547,00</w:t>
            </w:r>
          </w:p>
        </w:tc>
      </w:tr>
      <w:tr w:rsidR="00624D44" w14:paraId="604759C0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98FCA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22ADCE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Desodorizador sanitário, composição: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paradicloro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 benzeno min 98%, essência: eucalipto, aspecto físico: em pedra, </w:t>
            </w:r>
            <w:r>
              <w:rPr>
                <w:rFonts w:ascii="Times New Roman" w:hAnsi="Times New Roman" w:cs="Arial"/>
                <w:sz w:val="20"/>
                <w:szCs w:val="20"/>
              </w:rPr>
              <w:t>características adicionais: suporte plástico para vaso sanitário. peso 35 gramas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D7269F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484680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57F01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DA16CA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4D2308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3,18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E9BF65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318,00</w:t>
            </w:r>
          </w:p>
        </w:tc>
      </w:tr>
      <w:tr w:rsidR="00624D44" w14:paraId="3867D05A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4B004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456825A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Detergente, tensoativo aniônico, tensoativo não-iônico agente um, aplicação limpeza em geral, aroma </w:t>
            </w:r>
            <w:proofErr w:type="spellStart"/>
            <w:proofErr w:type="gramStart"/>
            <w:r>
              <w:rPr>
                <w:rFonts w:ascii="Times New Roman" w:hAnsi="Times New Roman" w:cs="Arial"/>
                <w:sz w:val="20"/>
                <w:szCs w:val="20"/>
              </w:rPr>
              <w:t>neutro,ph</w:t>
            </w:r>
            <w:proofErr w:type="spellEnd"/>
            <w:proofErr w:type="gramEnd"/>
            <w:r>
              <w:rPr>
                <w:rFonts w:ascii="Times New Roman" w:hAnsi="Times New Roman" w:cs="Arial"/>
                <w:sz w:val="20"/>
                <w:szCs w:val="20"/>
              </w:rPr>
              <w:t xml:space="preserve"> 6,5 a 7,5, líquido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D3996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463157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AFDA2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0251FC8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E520E4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FA92F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3,11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E4B7B1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1.555,00</w:t>
            </w:r>
          </w:p>
        </w:tc>
      </w:tr>
      <w:tr w:rsidR="00624D44" w14:paraId="1BE32FFB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B0D86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699FE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Detergente, tensoativo aniônico, tensoativo não-iônico agente um, aplicação limpeza em geral, aroma </w:t>
            </w:r>
            <w:proofErr w:type="spellStart"/>
            <w:proofErr w:type="gramStart"/>
            <w:r>
              <w:rPr>
                <w:rFonts w:ascii="Times New Roman" w:hAnsi="Times New Roman" w:cs="Arial"/>
                <w:sz w:val="20"/>
                <w:szCs w:val="20"/>
              </w:rPr>
              <w:t>neutro,ph</w:t>
            </w:r>
            <w:proofErr w:type="spellEnd"/>
            <w:proofErr w:type="gramEnd"/>
            <w:r>
              <w:rPr>
                <w:rFonts w:ascii="Times New Roman" w:hAnsi="Times New Roman" w:cs="Arial"/>
                <w:sz w:val="20"/>
                <w:szCs w:val="20"/>
              </w:rPr>
              <w:t xml:space="preserve"> 6,5 a 7,5, líquido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727861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463157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50A50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Galão</w:t>
            </w:r>
          </w:p>
          <w:p w14:paraId="3AD7FAF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 litros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AC3FED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147CE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35,14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07D0D4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2.811,20</w:t>
            </w:r>
          </w:p>
        </w:tc>
      </w:tr>
      <w:tr w:rsidR="00624D44" w14:paraId="29BF30C1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B4774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7513A2F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Esponja de limpeza, limpeza em </w:t>
            </w:r>
            <w:r>
              <w:rPr>
                <w:rFonts w:ascii="Times New Roman" w:hAnsi="Times New Roman" w:cs="Arial"/>
                <w:sz w:val="20"/>
                <w:szCs w:val="20"/>
              </w:rPr>
              <w:t>geral, material lã de aço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31F0E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481018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F44B0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36EF158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8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D188DB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2009B7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58E7B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499,00</w:t>
            </w:r>
          </w:p>
        </w:tc>
      </w:tr>
      <w:tr w:rsidR="00624D44" w14:paraId="3049C453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BE26A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7DE3DB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Esponja de limpeza, </w:t>
            </w:r>
            <w:r>
              <w:rPr>
                <w:rFonts w:ascii="Times New Roman" w:hAnsi="Times New Roman" w:cs="Arial"/>
                <w:sz w:val="20"/>
                <w:szCs w:val="20"/>
              </w:rPr>
              <w:t>utensílios domésticos, espuma, fibra, dupla face, retangular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F1ABC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481020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57000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19A7E7A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6DC70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7A4D6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4,77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5F983F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715,50</w:t>
            </w:r>
          </w:p>
        </w:tc>
      </w:tr>
      <w:tr w:rsidR="00624D44" w14:paraId="62D20E47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FD733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E395D9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Estopa, material: fio algodão puro, aplicação: </w:t>
            </w:r>
            <w:r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polimento e </w:t>
            </w:r>
            <w:r>
              <w:rPr>
                <w:rFonts w:ascii="Times New Roman" w:hAnsi="Times New Roman" w:cs="Arial"/>
                <w:sz w:val="20"/>
                <w:szCs w:val="20"/>
              </w:rPr>
              <w:t>limpeza especial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C76F0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227345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FC045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594037E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 Kg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AE7EA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43C9FC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11,84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CBA051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473,60</w:t>
            </w:r>
          </w:p>
        </w:tc>
      </w:tr>
      <w:tr w:rsidR="00624D44" w14:paraId="3CF104A0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7AA53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220123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Flanela, algodão, comprimento 40cm, largura 30cm, cor laranja, acabamento nas bordas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92456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319163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47C4D6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FB2B7AC" w14:textId="63F05339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3D04F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DF5775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577,20</w:t>
            </w:r>
          </w:p>
        </w:tc>
      </w:tr>
      <w:tr w:rsidR="00624D44" w14:paraId="556C96CD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54B3FC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2DB4E80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Hidróxido de sódio, aspecto físico: escamas esbranquiçadas, altamente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higroscópico, peso molecular: 40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gr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/mol, fórmula química: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naoh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, grau de pureza: pureza mínima de 95%, característica adicional: soda cáustica comercial, número de referência química: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cas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 1310-73-2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5F52B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376404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DF5755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Pote</w:t>
            </w:r>
          </w:p>
          <w:p w14:paraId="0CA2BD2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400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A3E7BD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A22EE8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17,94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25AD0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897,00</w:t>
            </w:r>
          </w:p>
        </w:tc>
      </w:tr>
      <w:tr w:rsidR="00624D44" w14:paraId="2AD0A29D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1E2107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9E5E7A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Inseticida, tipo: líquido, aplicação: uso doméstico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9B3F7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484679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DEAD9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1DB57EC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6CC54F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E4003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10,86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E9F7B6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2.606,40</w:t>
            </w:r>
          </w:p>
        </w:tc>
      </w:tr>
      <w:tr w:rsidR="00624D44" w14:paraId="69F8F2D1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FB1BE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C6B55F5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Limpa-vidro, aspecto físico: líquido, composição: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alquil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 benzeno sulfônico, alcalinizante,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sequestr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, características adicionais: emulsificante corante, </w:t>
            </w:r>
            <w:r>
              <w:rPr>
                <w:rFonts w:ascii="Times New Roman" w:hAnsi="Times New Roman" w:cs="Arial"/>
                <w:sz w:val="20"/>
                <w:szCs w:val="20"/>
              </w:rPr>
              <w:t>solventes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CD8E0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470966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CF7C6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76E4B35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EC1F43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1C2BE8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5,54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713B44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221,60</w:t>
            </w:r>
          </w:p>
        </w:tc>
      </w:tr>
      <w:tr w:rsidR="00624D44" w14:paraId="4BFFDE20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883E0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BF6C6E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Limpador base ácida, composição básica: ácido sulfônico, fluorídrico e muriático, aspecto físico: líquido, cor: incolor, aplicação: limpeza de pisos, características adicionais: biodegradável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AF770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368775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B77054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2013B4D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 litro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0E643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6277B5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6,27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B32E31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250,80</w:t>
            </w:r>
          </w:p>
        </w:tc>
      </w:tr>
      <w:tr w:rsidR="00624D44" w14:paraId="27EF6F53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1F940A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32F887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Lustrador móveis, componentes: ceras naturais, aroma: lavanda, aplicação: móveis e superfícies lisas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875180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226950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288FB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521EA6B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EE93B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7A5E07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4,31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1A23C48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215,50</w:t>
            </w:r>
          </w:p>
        </w:tc>
      </w:tr>
      <w:tr w:rsidR="00624D44" w14:paraId="0782479E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78E7C7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4A0613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Luva borracha, material: 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átex antiderrapante, tamanho: grande, </w:t>
            </w:r>
            <w:r>
              <w:rPr>
                <w:rFonts w:ascii="Times New Roman" w:hAnsi="Times New Roman"/>
                <w:sz w:val="20"/>
                <w:szCs w:val="20"/>
              </w:rPr>
              <w:t>características adicionais: sem forro, uso: limpeza em geral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2D7D1C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327841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C96C49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Par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EFF8DE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F466C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3,35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16FA04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502,50</w:t>
            </w:r>
          </w:p>
        </w:tc>
      </w:tr>
      <w:tr w:rsidR="00624D44" w14:paraId="37634BB2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023BE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C1265E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Pá coletora lixo, material coletor: metal galvanizado, material cabo: madeira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lastRenderedPageBreak/>
              <w:t>plástificada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>, comprimento cabo:80 cm, comprimento:20 cm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8E9E45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357900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FEA227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438296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996B3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5,30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DB44260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318,00</w:t>
            </w:r>
          </w:p>
        </w:tc>
      </w:tr>
      <w:tr w:rsidR="00624D44" w14:paraId="29B11FA5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5BB80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AF4ED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Palha aço, material: aço carbono, abrasividade: alta, aplicação: limpeza em geral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6F67F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241726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F53A5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CCD96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FBC1EA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EF1B4C7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106,40</w:t>
            </w:r>
          </w:p>
        </w:tc>
      </w:tr>
      <w:tr w:rsidR="00624D44" w14:paraId="78F269F4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B17BF4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910F0F0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Pano de limpeza de chão, 100% algodão, tipo toalha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F7F63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481028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8AE4DD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1ECF61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AA9B8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4,45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E1DD148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1.780,00</w:t>
            </w:r>
          </w:p>
        </w:tc>
      </w:tr>
      <w:tr w:rsidR="00624D44" w14:paraId="4A30CA3F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D7BBB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D48272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Pano de prato, algodão alvejado, </w:t>
            </w:r>
            <w:r>
              <w:rPr>
                <w:rFonts w:ascii="Times New Roman" w:hAnsi="Times New Roman" w:cs="Arial"/>
                <w:sz w:val="20"/>
                <w:szCs w:val="20"/>
              </w:rPr>
              <w:t>comprimento 68cm, largura 40cm, cores diversas (estampado), alto nível de absorção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11EEC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413361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03628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E79B1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33607F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ADD6321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912,00</w:t>
            </w:r>
          </w:p>
        </w:tc>
      </w:tr>
      <w:tr w:rsidR="00624D44" w14:paraId="1C7134DB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CBA40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60BC3F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Papel higiênico, celulose virgem, comprimento 30m, largura 10cm, picotado, folhas duplas, cor branca, extra macio e sem perfumes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22819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301139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BD293B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287991B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AD9240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48F47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5,77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D86396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2.308,00</w:t>
            </w:r>
          </w:p>
        </w:tc>
      </w:tr>
      <w:tr w:rsidR="00624D44" w14:paraId="79FDF6A1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E05745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4D5C69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Polidor, aspecto físico: líquido branco-amarelado, composição: agente polimento solvente petróleo oleína, aplicação: prata e metais cromados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DF1F6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228220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6C59F6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5680B6C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F0453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69BF17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9,86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8A9188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493,00</w:t>
            </w:r>
          </w:p>
        </w:tc>
      </w:tr>
      <w:tr w:rsidR="00624D44" w14:paraId="338CAFEF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EEB71B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976D47F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Protetor solar, tipo </w:t>
            </w:r>
            <w:r>
              <w:rPr>
                <w:rFonts w:ascii="Times New Roman" w:hAnsi="Times New Roman" w:cs="Arial"/>
                <w:sz w:val="20"/>
                <w:szCs w:val="20"/>
              </w:rPr>
              <w:t>proteção: uva/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uvb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>, fator proteção: fator 60, forma farmacêutica: loção cremosa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EC2E38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405890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59E9DC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711709D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120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E192A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C44C8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13,94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B825B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1.672,80</w:t>
            </w:r>
          </w:p>
        </w:tc>
      </w:tr>
      <w:tr w:rsidR="00624D44" w14:paraId="1EB8B2CB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46295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AD82FB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Repelente, princípio ativo: à base de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icaridina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, concentração: até 25%, característica adicional: isento de óleo, forma </w:t>
            </w:r>
            <w:r>
              <w:rPr>
                <w:rFonts w:ascii="Times New Roman" w:hAnsi="Times New Roman" w:cs="Arial"/>
                <w:sz w:val="20"/>
                <w:szCs w:val="20"/>
              </w:rPr>
              <w:t>farmacêutica: loção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869D2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453057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48472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Frasco</w:t>
            </w:r>
          </w:p>
          <w:p w14:paraId="6ADD5B8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90E5AF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C54DE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7,48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49DD3A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2.992,00</w:t>
            </w:r>
          </w:p>
        </w:tc>
      </w:tr>
      <w:tr w:rsidR="00624D44" w14:paraId="05B0DF53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EAFDC7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BAA2025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Rodo, material cabo: madeira, material suporte: madeira, comprimento suporte: 30 cm, quantidades de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borrachas: 1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un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>, características adicionais: madeira cabo e suporte isenta de nós, espessura borracha: 2 mm, altura borracha: 2,3 cm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89FED8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253207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A6835D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E5BB1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4645B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EDE683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</w:tr>
      <w:tr w:rsidR="00624D44" w14:paraId="4EA8AB5A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D741B5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48B3B1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Rodo, material cabo: madeira, material suporte: madeira, comprimento </w:t>
            </w:r>
            <w:r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suporte: 40 cm,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cor: suporte e cabo natural, quantidades de borrachas: 2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2248D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238644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852560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BA007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B08D2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10,63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22F1F2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531,50</w:t>
            </w:r>
          </w:p>
        </w:tc>
      </w:tr>
      <w:tr w:rsidR="00624D44" w14:paraId="35312E30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C27EC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856A89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Sabão barra, tipo: coco natural, peso: 200 g, formato: retangular, cor: branca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854DAF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254879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62183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47DCE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FF3865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75259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325,00</w:t>
            </w:r>
          </w:p>
        </w:tc>
      </w:tr>
      <w:tr w:rsidR="00624D44" w14:paraId="76E39255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C5B0C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1C2EEB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Sabão em pasta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40B8A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136387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F98D6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Pote</w:t>
            </w:r>
          </w:p>
          <w:p w14:paraId="6EB1957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500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DC0885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E3A765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6,24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3DB15E4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1.248,00</w:t>
            </w:r>
          </w:p>
        </w:tc>
      </w:tr>
      <w:tr w:rsidR="00624D44" w14:paraId="33B8AE98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371C42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7F2759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Sabão em pó, limpeza em geral, aspecto físico pó, biodegradável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F153BA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324827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9D4F1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29F07A7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 Kg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967E1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D70434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9,73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D1A522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1.946,00</w:t>
            </w:r>
          </w:p>
        </w:tc>
      </w:tr>
      <w:tr w:rsidR="00624D44" w14:paraId="654CEC25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F0EBB4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332BC1B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Sabão pó, aplicação: limpeza geral, aspecto físico: pó, características adicionais: biodegradável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67053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324827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73FEBA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5A40E40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 Kg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7993E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2BBBD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25,27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5D2066B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2.021,60</w:t>
            </w:r>
          </w:p>
        </w:tc>
      </w:tr>
      <w:tr w:rsidR="00624D44" w14:paraId="4BA2A72F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0C326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F63D50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Sabonete líquido, aspecto físico: líquido perfumado, acidez: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ph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 neutro, aplicação: assepsia das mãos, composição: glicerina, aroma: lavanda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9AD9C4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472873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9A0F46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Galão</w:t>
            </w:r>
          </w:p>
          <w:p w14:paraId="1ECD79E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 litros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CA3BE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868F47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18,65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D777A7B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1.492,00</w:t>
            </w:r>
          </w:p>
        </w:tc>
      </w:tr>
      <w:tr w:rsidR="00624D44" w14:paraId="7B0B5718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9F4A27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0AB59B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Sabonete, aspecto físico: sólido, peso: 90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gr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, aroma: </w:t>
            </w:r>
            <w:r>
              <w:rPr>
                <w:rFonts w:ascii="Times New Roman" w:hAnsi="Times New Roman" w:cs="Arial"/>
                <w:sz w:val="20"/>
                <w:szCs w:val="20"/>
              </w:rPr>
              <w:t>suave, cor: branca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AE5E27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444433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02E8D8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Pacote</w:t>
            </w:r>
          </w:p>
          <w:p w14:paraId="24F8761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12 unidades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AD8435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59BAC9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12,96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398E0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259,20</w:t>
            </w:r>
          </w:p>
        </w:tc>
      </w:tr>
      <w:tr w:rsidR="00624D44" w14:paraId="152A2D55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D1933C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AE3F6BD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Solução limpadora, apresentação: frasco plástico, aplicação: fornos e equipamentos de cocção, tipo: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descarbonizante</w:t>
            </w:r>
            <w:proofErr w:type="spellEnd"/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7D995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285785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70489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Pote</w:t>
            </w:r>
          </w:p>
          <w:p w14:paraId="5D9CB1B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250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F5AF83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FF27442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14,12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62ECFB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423,60</w:t>
            </w:r>
          </w:p>
        </w:tc>
      </w:tr>
      <w:tr w:rsidR="00624D44" w14:paraId="0BB27DD6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19C8A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349AE6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Solução limpeza multiuso, </w:t>
            </w:r>
            <w:r>
              <w:rPr>
                <w:rFonts w:ascii="Times New Roman" w:hAnsi="Times New Roman"/>
                <w:sz w:val="20"/>
                <w:szCs w:val="20"/>
              </w:rPr>
              <w:t>composição básica: água sanitária, alvejante e desinfetante, aspecto físico: líquido, aplicação: limpeza geral,</w:t>
            </w:r>
          </w:p>
          <w:p w14:paraId="13271B4F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Características adicionais: tampa dosadora de fluxo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E4F708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293351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89DBCA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Frasco </w:t>
            </w:r>
          </w:p>
          <w:p w14:paraId="465BD81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1000 ml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7DE0B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23B29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10,97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8861A7A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329,10</w:t>
            </w:r>
          </w:p>
        </w:tc>
      </w:tr>
      <w:tr w:rsidR="00624D44" w14:paraId="137A0A76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92211B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60CE2A6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Vassoura jardinagem, tipo: fixa, material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cerdas: polipropileno alta resistência, características adicionais: com cabo 120 cm, quantidades de lâminas: 22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5FCBFA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450643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1210F3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5158D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CA223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24,45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8FB0B0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733,50</w:t>
            </w:r>
          </w:p>
        </w:tc>
      </w:tr>
      <w:tr w:rsidR="00624D44" w14:paraId="189EBB16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EFFF0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175ED2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Vassoura jardinagem, tipo: regulável, material cerdas: aço carbono, características adicionais: </w:t>
            </w:r>
            <w:r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com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cabo 120 cm, quantidade lâminas: 18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89D8FB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438599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9FD2ED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6B875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5340C1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21,91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8C1A9D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1.752,80</w:t>
            </w:r>
          </w:p>
        </w:tc>
      </w:tr>
      <w:tr w:rsidR="00624D44" w14:paraId="22B04C3B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7C0420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CB6FDE4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Vassoura, características adicionais: com cabo rosqueado, comprimento cepa: 40 cm, largura cepa: 7,5 cm material cepa: madeira, material cerdas: náilon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336EB7E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481234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F52E8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5076863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83C41E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15,50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ABA287F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775,00</w:t>
            </w:r>
          </w:p>
        </w:tc>
      </w:tr>
      <w:tr w:rsidR="00624D44" w14:paraId="6E41FCE9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6940D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E91D92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Vassoura, material cerdas: piaçava, material cabo: madeira, material cepa: madeira, comprimento cepa: 40 cm, comprimento cerdas: mínimo 9 cm, características adicionais: com cabo rosqueado, tipo: gari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A203CFC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318938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D06C4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D7E798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DC8457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14,46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CDDA71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2.169,00</w:t>
            </w:r>
          </w:p>
        </w:tc>
      </w:tr>
      <w:tr w:rsidR="00624D44" w14:paraId="0A0B9750" w14:textId="77777777">
        <w:trPr>
          <w:jc w:val="center"/>
        </w:trPr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906B01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660903" w14:textId="77777777" w:rsidR="00624D44" w:rsidRDefault="008341FE">
            <w:pPr>
              <w:widowControl w:val="0"/>
              <w:spacing w:after="0" w:line="288" w:lineRule="auto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Vassoura, material cerdas: piaçava, material cepa: chapa de aço, comprimento cepa: 21 cm, características adicionais: com cabo madeira</w:t>
            </w:r>
          </w:p>
        </w:tc>
        <w:tc>
          <w:tcPr>
            <w:tcW w:w="10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C749779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469862</w:t>
            </w:r>
          </w:p>
        </w:tc>
        <w:tc>
          <w:tcPr>
            <w:tcW w:w="11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E3DF8F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40472A6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cs="Arial"/>
                <w:color w:val="00000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AF3455" w14:textId="77777777" w:rsidR="00624D44" w:rsidRDefault="008341FE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11,75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77552D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1.762,50</w:t>
            </w:r>
          </w:p>
        </w:tc>
      </w:tr>
      <w:tr w:rsidR="00624D44" w14:paraId="3DC074F1" w14:textId="77777777">
        <w:trPr>
          <w:jc w:val="center"/>
        </w:trPr>
        <w:tc>
          <w:tcPr>
            <w:tcW w:w="8100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B88431" w14:textId="77777777" w:rsidR="00624D44" w:rsidRDefault="008341FE">
            <w:pPr>
              <w:widowControl w:val="0"/>
              <w:spacing w:after="0" w:line="276" w:lineRule="auto"/>
              <w:jc w:val="right"/>
              <w:rPr>
                <w:rFonts w:cs="Arial"/>
                <w:b/>
                <w:bCs/>
                <w:color w:val="00000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36B44B7B" w14:textId="77777777" w:rsidR="00624D44" w:rsidRDefault="008341FE">
            <w:pPr>
              <w:pStyle w:val="Contedodatabela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54.644,70</w:t>
            </w:r>
          </w:p>
        </w:tc>
      </w:tr>
    </w:tbl>
    <w:p w14:paraId="1B53116D" w14:textId="77777777" w:rsidR="00624D44" w:rsidRDefault="00624D44">
      <w:pPr>
        <w:pStyle w:val="PargrafodaLista"/>
        <w:spacing w:after="0" w:line="276" w:lineRule="auto"/>
        <w:jc w:val="both"/>
        <w:rPr>
          <w:rFonts w:ascii="Times New Roman" w:hAnsi="Times New Roman" w:cs="Arial"/>
          <w:iCs/>
        </w:rPr>
      </w:pPr>
    </w:p>
    <w:p w14:paraId="5CD04E33" w14:textId="77777777" w:rsidR="00624D44" w:rsidRDefault="008341FE">
      <w:pPr>
        <w:pStyle w:val="PargrafodaLista"/>
        <w:spacing w:after="0" w:line="276" w:lineRule="auto"/>
        <w:ind w:left="432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iCs/>
        </w:rPr>
        <w:t>1.2.</w:t>
      </w:r>
      <w:r>
        <w:rPr>
          <w:rFonts w:ascii="Times New Roman" w:hAnsi="Times New Roman" w:cs="Arial"/>
          <w:iCs/>
        </w:rPr>
        <w:t xml:space="preserve"> O objeto desta contratação não se enquadra como sendo de bem de luxo, conforme Decreto nº 10.818, de 2021.</w:t>
      </w:r>
    </w:p>
    <w:p w14:paraId="3E54DEEF" w14:textId="77777777" w:rsidR="00624D44" w:rsidRDefault="00624D44">
      <w:pPr>
        <w:pStyle w:val="PargrafodaLista"/>
        <w:spacing w:after="0" w:line="276" w:lineRule="auto"/>
        <w:ind w:left="716"/>
        <w:jc w:val="both"/>
        <w:rPr>
          <w:rFonts w:ascii="Times New Roman" w:hAnsi="Times New Roman" w:cs="Arial"/>
          <w:bCs/>
          <w:i/>
          <w:color w:val="FF0000"/>
        </w:rPr>
      </w:pPr>
    </w:p>
    <w:p w14:paraId="58F93996" w14:textId="77777777" w:rsidR="00624D44" w:rsidRDefault="008341FE">
      <w:pPr>
        <w:pStyle w:val="PargrafodaLista"/>
        <w:spacing w:after="0" w:line="276" w:lineRule="auto"/>
        <w:ind w:left="432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color w:val="000000"/>
        </w:rPr>
        <w:t>1.3.</w:t>
      </w:r>
      <w:r>
        <w:rPr>
          <w:rFonts w:ascii="Times New Roman" w:hAnsi="Times New Roman" w:cs="Arial"/>
          <w:bCs/>
          <w:i/>
          <w:color w:val="FF0000"/>
        </w:rPr>
        <w:t xml:space="preserve"> </w:t>
      </w:r>
      <w:r>
        <w:rPr>
          <w:rFonts w:ascii="Times New Roman" w:hAnsi="Times New Roman" w:cs="Arial"/>
          <w:iCs/>
        </w:rPr>
        <w:t xml:space="preserve">O custo estimado total da contratação </w:t>
      </w:r>
      <w:r>
        <w:rPr>
          <w:rFonts w:ascii="Times New Roman" w:hAnsi="Times New Roman" w:cs="Arial"/>
          <w:iCs/>
        </w:rPr>
        <w:t>é de</w:t>
      </w:r>
      <w:r>
        <w:rPr>
          <w:rFonts w:ascii="Times New Roman" w:hAnsi="Times New Roman" w:cs="Arial"/>
          <w:i/>
          <w:color w:val="FF0000"/>
        </w:rPr>
        <w:t xml:space="preserve"> </w:t>
      </w:r>
      <w:r>
        <w:rPr>
          <w:rFonts w:ascii="Times New Roman" w:hAnsi="Times New Roman" w:cs="Arial"/>
          <w:color w:val="000000"/>
        </w:rPr>
        <w:t xml:space="preserve">R$ </w:t>
      </w:r>
      <w:r>
        <w:rPr>
          <w:rFonts w:ascii="Times New Roman" w:hAnsi="Times New Roman" w:cs="Arial"/>
          <w:color w:val="000000"/>
        </w:rPr>
        <w:t>54</w:t>
      </w:r>
      <w:r>
        <w:rPr>
          <w:rFonts w:ascii="Times New Roman" w:hAnsi="Times New Roman" w:cs="Arial"/>
          <w:color w:val="000000"/>
        </w:rPr>
        <w:t>.644,70</w:t>
      </w:r>
      <w:r>
        <w:rPr>
          <w:rFonts w:ascii="Times New Roman" w:hAnsi="Times New Roman" w:cs="Arial"/>
          <w:i/>
          <w:color w:val="000000"/>
        </w:rPr>
        <w:t xml:space="preserve"> </w:t>
      </w:r>
      <w:r>
        <w:rPr>
          <w:rFonts w:ascii="Times New Roman" w:hAnsi="Times New Roman" w:cs="Arial"/>
          <w:color w:val="000000"/>
        </w:rPr>
        <w:t xml:space="preserve">(cinquenta e quatro mil seiscentos e quarenta e quatro reais e setenta </w:t>
      </w:r>
      <w:r>
        <w:rPr>
          <w:rFonts w:ascii="Times New Roman" w:hAnsi="Times New Roman" w:cs="Arial"/>
          <w:color w:val="000000"/>
        </w:rPr>
        <w:t>centavos)</w:t>
      </w:r>
      <w:r>
        <w:rPr>
          <w:rFonts w:ascii="Times New Roman" w:hAnsi="Times New Roman" w:cs="Arial"/>
          <w:i/>
          <w:color w:val="000000"/>
        </w:rPr>
        <w:t>,</w:t>
      </w:r>
      <w:r>
        <w:rPr>
          <w:rFonts w:ascii="Times New Roman" w:hAnsi="Times New Roman" w:cs="Arial"/>
          <w:i/>
          <w:color w:val="FF0000"/>
        </w:rPr>
        <w:t xml:space="preserve"> </w:t>
      </w:r>
      <w:r>
        <w:rPr>
          <w:rFonts w:ascii="Times New Roman" w:hAnsi="Times New Roman" w:cs="Arial"/>
          <w:iCs/>
        </w:rPr>
        <w:t>conforme custos unitários apostos</w:t>
      </w:r>
      <w:r>
        <w:rPr>
          <w:rFonts w:ascii="Times New Roman" w:hAnsi="Times New Roman" w:cs="Arial"/>
          <w:i/>
          <w:color w:val="FF0000"/>
        </w:rPr>
        <w:t xml:space="preserve"> </w:t>
      </w:r>
      <w:r>
        <w:rPr>
          <w:rFonts w:ascii="Times New Roman" w:hAnsi="Times New Roman" w:cs="Arial"/>
          <w:color w:val="000000"/>
        </w:rPr>
        <w:t>na tabela acima.</w:t>
      </w:r>
    </w:p>
    <w:p w14:paraId="6C230342" w14:textId="77777777" w:rsidR="00624D44" w:rsidRDefault="00624D44">
      <w:pPr>
        <w:spacing w:after="0" w:line="276" w:lineRule="auto"/>
        <w:jc w:val="both"/>
        <w:rPr>
          <w:rFonts w:ascii="Times New Roman" w:hAnsi="Times New Roman" w:cs="Arial"/>
          <w:i/>
          <w:color w:val="FF0000"/>
        </w:rPr>
      </w:pPr>
    </w:p>
    <w:p w14:paraId="1640FE07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bCs/>
        </w:rPr>
      </w:pPr>
      <w:r>
        <w:rPr>
          <w:rFonts w:ascii="Times New Roman" w:hAnsi="Times New Roman"/>
          <w:bCs/>
          <w:sz w:val="22"/>
          <w:szCs w:val="22"/>
        </w:rPr>
        <w:t xml:space="preserve">FUNDAMENTAÇÃO E DESCRIÇÃO DA NECESSIDADE DA CONTRATAÇÃO (art. 6º, inciso XXIII, alínea ‘b’, da Lei nº 14.133/2021). </w:t>
      </w:r>
    </w:p>
    <w:p w14:paraId="565E208B" w14:textId="77777777" w:rsidR="00624D44" w:rsidRDefault="008341FE">
      <w:pPr>
        <w:pStyle w:val="PargrafodaLista"/>
        <w:numPr>
          <w:ilvl w:val="1"/>
          <w:numId w:val="12"/>
        </w:numPr>
        <w:spacing w:after="0" w:line="276" w:lineRule="auto"/>
        <w:jc w:val="both"/>
        <w:rPr>
          <w:rFonts w:cs="Arial"/>
        </w:rPr>
      </w:pPr>
      <w:r>
        <w:rPr>
          <w:rFonts w:ascii="Times New Roman" w:hAnsi="Times New Roman" w:cs="Arial"/>
        </w:rPr>
        <w:t>A Fundamentação da Contratação e de seus quantitativos encontra-se pormenori</w:t>
      </w:r>
      <w:r>
        <w:rPr>
          <w:rFonts w:ascii="Times New Roman" w:hAnsi="Times New Roman" w:cs="Arial"/>
        </w:rPr>
        <w:t>zada em Tópico específico dos Estudos Técnicos Preliminares, apêndice deste Termo de Referência.</w:t>
      </w:r>
    </w:p>
    <w:p w14:paraId="741351B4" w14:textId="77777777" w:rsidR="00624D44" w:rsidRDefault="00624D44">
      <w:pPr>
        <w:pStyle w:val="Nivel1"/>
        <w:spacing w:before="0" w:after="0"/>
        <w:ind w:left="360"/>
        <w:rPr>
          <w:rFonts w:ascii="Times New Roman" w:hAnsi="Times New Roman"/>
          <w:bCs/>
          <w:sz w:val="22"/>
          <w:szCs w:val="22"/>
        </w:rPr>
      </w:pPr>
    </w:p>
    <w:p w14:paraId="24326519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bCs/>
        </w:rPr>
      </w:pPr>
      <w:r>
        <w:rPr>
          <w:rFonts w:ascii="Times New Roman" w:hAnsi="Times New Roman"/>
          <w:bCs/>
          <w:sz w:val="22"/>
          <w:szCs w:val="22"/>
        </w:rPr>
        <w:t xml:space="preserve">DESCRIÇÃO DA SOLUÇÃO COMO UM TODO CONSIDERADO O CICLO DE VIDA DO OBJETO E ESPECIFICAÇÃO DO PRODUTO (art. 6º, inciso XXIII, alínea ‘c’, e art. 40, §1º, inciso </w:t>
      </w:r>
      <w:r>
        <w:rPr>
          <w:rFonts w:ascii="Times New Roman" w:hAnsi="Times New Roman"/>
          <w:bCs/>
          <w:sz w:val="22"/>
          <w:szCs w:val="22"/>
        </w:rPr>
        <w:t>I, da Lei nº 14.133/2021)</w:t>
      </w:r>
    </w:p>
    <w:p w14:paraId="3C5D298D" w14:textId="77777777" w:rsidR="00624D44" w:rsidRDefault="008341FE">
      <w:pPr>
        <w:pStyle w:val="PargrafodaLista"/>
        <w:numPr>
          <w:ilvl w:val="1"/>
          <w:numId w:val="13"/>
        </w:numPr>
        <w:spacing w:after="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A descrição da solução como um todo, encontra-se pormenorizada em tópico específico dos Estudos Técnicos Preliminares, apêndice deste Termo de Referência.</w:t>
      </w:r>
    </w:p>
    <w:p w14:paraId="5D0FEC46" w14:textId="77777777" w:rsidR="00624D44" w:rsidRDefault="00624D44">
      <w:pPr>
        <w:pStyle w:val="Nivel1"/>
        <w:spacing w:before="0" w:after="0"/>
        <w:ind w:left="360"/>
        <w:rPr>
          <w:rFonts w:ascii="Times New Roman" w:hAnsi="Times New Roman"/>
          <w:sz w:val="22"/>
          <w:szCs w:val="22"/>
        </w:rPr>
      </w:pPr>
    </w:p>
    <w:p w14:paraId="46E82267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bCs/>
        </w:rPr>
      </w:pPr>
      <w:r>
        <w:rPr>
          <w:rFonts w:ascii="Times New Roman" w:hAnsi="Times New Roman"/>
          <w:bCs/>
          <w:sz w:val="22"/>
          <w:szCs w:val="22"/>
        </w:rPr>
        <w:t xml:space="preserve">REQUISITOS DA CONTRATAÇÃO (art. 6º, XXIII, alínea ‘d’, da Lei nº </w:t>
      </w:r>
      <w:r>
        <w:rPr>
          <w:rFonts w:ascii="Times New Roman" w:hAnsi="Times New Roman"/>
          <w:bCs/>
          <w:sz w:val="22"/>
          <w:szCs w:val="22"/>
        </w:rPr>
        <w:t>14.133/21</w:t>
      </w:r>
    </w:p>
    <w:p w14:paraId="527CB59D" w14:textId="77777777" w:rsidR="00624D44" w:rsidRDefault="008341FE">
      <w:pPr>
        <w:pStyle w:val="PargrafodaLista"/>
        <w:numPr>
          <w:ilvl w:val="1"/>
          <w:numId w:val="11"/>
        </w:numPr>
        <w:spacing w:after="0" w:line="276" w:lineRule="auto"/>
        <w:jc w:val="both"/>
        <w:rPr>
          <w:rFonts w:cs="Arial"/>
        </w:rPr>
      </w:pPr>
      <w:r>
        <w:rPr>
          <w:rFonts w:ascii="Times New Roman" w:hAnsi="Times New Roman" w:cs="Arial"/>
        </w:rPr>
        <w:t>A contratação deverá observar os seguintes requisitos:</w:t>
      </w:r>
    </w:p>
    <w:p w14:paraId="15502CF7" w14:textId="77777777" w:rsidR="00624D44" w:rsidRDefault="008341FE">
      <w:pPr>
        <w:pStyle w:val="PargrafodaLista"/>
        <w:numPr>
          <w:ilvl w:val="2"/>
          <w:numId w:val="1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i/>
          <w:iCs/>
        </w:rPr>
        <w:t xml:space="preserve"> </w:t>
      </w:r>
      <w:r>
        <w:rPr>
          <w:rFonts w:ascii="Times New Roman" w:hAnsi="Times New Roman" w:cs="Arial"/>
          <w:color w:val="000000"/>
        </w:rPr>
        <w:t>Sustentabilidade:</w:t>
      </w:r>
    </w:p>
    <w:p w14:paraId="3FD9CCE8" w14:textId="77777777" w:rsidR="00624D44" w:rsidRDefault="008341FE">
      <w:pPr>
        <w:pStyle w:val="PargrafodaLista"/>
        <w:numPr>
          <w:ilvl w:val="3"/>
          <w:numId w:val="1"/>
        </w:numPr>
        <w:shd w:val="clear" w:color="auto" w:fill="FFFFFF"/>
        <w:spacing w:after="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lastRenderedPageBreak/>
        <w:t xml:space="preserve">Além dos critérios de sustentabilidade eventualmente inseridos na descrição do objeto, devem ser atendidos os seguintes requisitos, que se baseiam no Guia Nacional de </w:t>
      </w:r>
      <w:r>
        <w:rPr>
          <w:rFonts w:ascii="Times New Roman" w:hAnsi="Times New Roman" w:cs="Arial"/>
          <w:color w:val="000000"/>
        </w:rPr>
        <w:t>Contratações Sustentáveis:</w:t>
      </w:r>
    </w:p>
    <w:p w14:paraId="2196BD92" w14:textId="77777777" w:rsidR="00624D44" w:rsidRDefault="00624D44">
      <w:pPr>
        <w:pStyle w:val="PargrafodaLista"/>
        <w:spacing w:after="0" w:line="276" w:lineRule="auto"/>
        <w:ind w:left="930"/>
        <w:jc w:val="both"/>
        <w:rPr>
          <w:rFonts w:ascii="Times New Roman" w:hAnsi="Times New Roman" w:cs="Arial"/>
          <w:i/>
          <w:iCs/>
          <w:color w:val="FF0000"/>
        </w:rPr>
      </w:pPr>
    </w:p>
    <w:p w14:paraId="2EF342FC" w14:textId="77777777" w:rsidR="00624D44" w:rsidRDefault="008341FE">
      <w:pPr>
        <w:pStyle w:val="PargrafodaLista"/>
        <w:numPr>
          <w:ilvl w:val="2"/>
          <w:numId w:val="1"/>
        </w:numPr>
        <w:spacing w:after="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Indicação de marcas ou modelos (Art. 41, inciso I, da Lei nº 14.133/2021):</w:t>
      </w:r>
    </w:p>
    <w:p w14:paraId="455D992F" w14:textId="77777777" w:rsidR="00624D44" w:rsidRDefault="008341FE">
      <w:pPr>
        <w:pStyle w:val="PargrafodaLista"/>
        <w:numPr>
          <w:ilvl w:val="3"/>
          <w:numId w:val="1"/>
        </w:numPr>
        <w:spacing w:after="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Na presente contratação será admitida a indicação da(s) seguinte(s) marca(s), característica(s) ou modelo(s), de acordo com as justificativas contidas no</w:t>
      </w:r>
      <w:r>
        <w:rPr>
          <w:rFonts w:ascii="Times New Roman" w:hAnsi="Times New Roman" w:cs="Arial"/>
          <w:color w:val="000000"/>
        </w:rPr>
        <w:t>s Estudos Técnicos Preliminares:</w:t>
      </w:r>
    </w:p>
    <w:p w14:paraId="32CA7F89" w14:textId="77777777" w:rsidR="00624D44" w:rsidRDefault="00624D44">
      <w:pPr>
        <w:pStyle w:val="PargrafodaLista"/>
        <w:spacing w:after="0" w:line="276" w:lineRule="auto"/>
        <w:ind w:left="930"/>
        <w:jc w:val="both"/>
        <w:rPr>
          <w:rFonts w:ascii="Times New Roman" w:hAnsi="Times New Roman" w:cs="Arial"/>
          <w:i/>
          <w:iCs/>
          <w:color w:val="FF0000"/>
        </w:rPr>
      </w:pPr>
    </w:p>
    <w:p w14:paraId="1D8B6DFC" w14:textId="77777777" w:rsidR="00624D44" w:rsidRDefault="008341FE">
      <w:pPr>
        <w:pStyle w:val="PargrafodaLista"/>
        <w:numPr>
          <w:ilvl w:val="2"/>
          <w:numId w:val="5"/>
        </w:numPr>
        <w:spacing w:after="0" w:line="276" w:lineRule="auto"/>
        <w:jc w:val="both"/>
        <w:rPr>
          <w:rFonts w:cs="Arial"/>
          <w:i/>
          <w:iCs/>
          <w:color w:val="auto"/>
        </w:rPr>
      </w:pPr>
      <w:r>
        <w:rPr>
          <w:rFonts w:ascii="Times New Roman" w:hAnsi="Times New Roman" w:cs="Arial"/>
          <w:i/>
          <w:iCs/>
          <w:color w:val="auto"/>
        </w:rPr>
        <w:t>Da vedação de contratação de marca/produto:</w:t>
      </w:r>
    </w:p>
    <w:p w14:paraId="09070D67" w14:textId="77777777" w:rsidR="00624D44" w:rsidRDefault="00624D44">
      <w:pPr>
        <w:pStyle w:val="PargrafodaLista"/>
        <w:spacing w:after="0" w:line="276" w:lineRule="auto"/>
        <w:ind w:left="716"/>
        <w:jc w:val="both"/>
        <w:rPr>
          <w:rFonts w:ascii="Times New Roman" w:hAnsi="Times New Roman" w:cs="Arial"/>
          <w:i/>
          <w:color w:val="FF0000"/>
        </w:rPr>
      </w:pPr>
    </w:p>
    <w:p w14:paraId="6E99EC60" w14:textId="77777777" w:rsidR="00624D44" w:rsidRDefault="008341FE">
      <w:pPr>
        <w:pStyle w:val="PargrafodaLista"/>
        <w:numPr>
          <w:ilvl w:val="1"/>
          <w:numId w:val="1"/>
        </w:numPr>
        <w:spacing w:after="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Não será admitida a subcontratação do objeto contratual.</w:t>
      </w:r>
    </w:p>
    <w:p w14:paraId="220E156A" w14:textId="77777777" w:rsidR="00624D44" w:rsidRDefault="00624D44">
      <w:pPr>
        <w:pStyle w:val="PargrafodaLista"/>
        <w:spacing w:after="0" w:line="276" w:lineRule="auto"/>
        <w:ind w:left="432"/>
        <w:jc w:val="both"/>
        <w:rPr>
          <w:rFonts w:ascii="Times New Roman" w:hAnsi="Times New Roman" w:cs="Arial"/>
          <w:i/>
          <w:color w:val="FF0000"/>
        </w:rPr>
      </w:pPr>
    </w:p>
    <w:p w14:paraId="115844C6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MODELO DE EXECUÇÃO CONTRATUAL (</w:t>
      </w:r>
      <w:proofErr w:type="spellStart"/>
      <w:r>
        <w:rPr>
          <w:rFonts w:ascii="Times New Roman" w:hAnsi="Times New Roman"/>
          <w:sz w:val="22"/>
          <w:szCs w:val="22"/>
        </w:rPr>
        <w:t>arts</w:t>
      </w:r>
      <w:proofErr w:type="spellEnd"/>
      <w:r>
        <w:rPr>
          <w:rFonts w:ascii="Times New Roman" w:hAnsi="Times New Roman"/>
          <w:sz w:val="22"/>
          <w:szCs w:val="22"/>
        </w:rPr>
        <w:t>. 6º, XXIII, alínea “e” e 40, §1º, inciso II, da Lei nº 14.133/2021).</w:t>
      </w:r>
    </w:p>
    <w:p w14:paraId="02531B6D" w14:textId="77777777" w:rsidR="00624D44" w:rsidRDefault="00624D44">
      <w:pPr>
        <w:pStyle w:val="Nivel2"/>
        <w:spacing w:before="0" w:after="0"/>
        <w:rPr>
          <w:rFonts w:ascii="Times New Roman" w:hAnsi="Times New Roman"/>
          <w:color w:val="FF0000"/>
        </w:rPr>
      </w:pPr>
    </w:p>
    <w:p w14:paraId="494FE09D" w14:textId="77777777" w:rsidR="00624D44" w:rsidRDefault="008341FE">
      <w:pPr>
        <w:pStyle w:val="Nivel2"/>
        <w:numPr>
          <w:ilvl w:val="1"/>
          <w:numId w:val="10"/>
        </w:numPr>
        <w:spacing w:before="0" w:after="0"/>
        <w:rPr>
          <w:color w:val="00000A"/>
        </w:rPr>
      </w:pPr>
      <w:r>
        <w:rPr>
          <w:rFonts w:ascii="Times New Roman" w:hAnsi="Times New Roman"/>
          <w:color w:val="00000A"/>
        </w:rPr>
        <w:t xml:space="preserve">O prazo de entrega dos bens é de 30 dias, contados do envio da Nota de Empenho, em remessa única. </w:t>
      </w:r>
    </w:p>
    <w:p w14:paraId="1868D3D6" w14:textId="77777777" w:rsidR="00624D44" w:rsidRDefault="00624D44">
      <w:pPr>
        <w:pStyle w:val="Nivel2"/>
        <w:spacing w:before="0" w:after="0"/>
        <w:ind w:left="851"/>
        <w:rPr>
          <w:rFonts w:ascii="Times New Roman" w:hAnsi="Times New Roman"/>
          <w:bCs/>
          <w:color w:val="FF0000"/>
        </w:rPr>
      </w:pPr>
    </w:p>
    <w:p w14:paraId="08937956" w14:textId="77777777" w:rsidR="00624D44" w:rsidRDefault="008341FE">
      <w:pPr>
        <w:pStyle w:val="Nivel2"/>
        <w:spacing w:before="0" w:after="0"/>
        <w:ind w:left="716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5.2</w:t>
      </w:r>
      <w:r>
        <w:rPr>
          <w:rFonts w:ascii="Times New Roman" w:hAnsi="Times New Roman"/>
          <w:bCs/>
        </w:rPr>
        <w:t xml:space="preserve">. Caso não seja possível a entrega na data assinalada, a empresa deverá comunicar as razões respectivas com pelo menos </w:t>
      </w:r>
      <w:r>
        <w:rPr>
          <w:rFonts w:ascii="Times New Roman" w:hAnsi="Times New Roman"/>
          <w:bCs/>
          <w:color w:val="auto"/>
        </w:rPr>
        <w:t>10 dias d</w:t>
      </w:r>
      <w:r>
        <w:rPr>
          <w:rFonts w:ascii="Times New Roman" w:hAnsi="Times New Roman"/>
          <w:bCs/>
        </w:rPr>
        <w:t xml:space="preserve">e antecedência para que qualquer pleito de prorrogação de prazo seja analisado, ressalvadas situações de caso fortuito e </w:t>
      </w:r>
      <w:r>
        <w:rPr>
          <w:rFonts w:ascii="Times New Roman" w:hAnsi="Times New Roman"/>
        </w:rPr>
        <w:t>força</w:t>
      </w:r>
      <w:r>
        <w:rPr>
          <w:rFonts w:ascii="Times New Roman" w:hAnsi="Times New Roman"/>
          <w:bCs/>
        </w:rPr>
        <w:t xml:space="preserve"> maior.</w:t>
      </w:r>
    </w:p>
    <w:p w14:paraId="1CA27B63" w14:textId="77777777" w:rsidR="00624D44" w:rsidRDefault="008341FE">
      <w:pPr>
        <w:pStyle w:val="Nivel2"/>
        <w:spacing w:before="0" w:after="0"/>
        <w:ind w:left="432"/>
      </w:pPr>
      <w:r>
        <w:rPr>
          <w:rFonts w:ascii="Times New Roman" w:hAnsi="Times New Roman"/>
          <w:b/>
          <w:bCs/>
        </w:rPr>
        <w:t>5.3.</w:t>
      </w:r>
      <w:r>
        <w:rPr>
          <w:rFonts w:ascii="Times New Roman" w:hAnsi="Times New Roman"/>
          <w:bCs/>
        </w:rPr>
        <w:t xml:space="preserve"> Os bens deverão ser entregues no seguinte endereço:</w:t>
      </w:r>
      <w:r>
        <w:rPr>
          <w:rFonts w:ascii="Times New Roman" w:hAnsi="Times New Roman"/>
          <w:bCs/>
          <w:i/>
          <w:iCs/>
          <w:color w:val="FF0000"/>
        </w:rPr>
        <w:t xml:space="preserve"> </w:t>
      </w:r>
      <w:r>
        <w:rPr>
          <w:rStyle w:val="lrzxr"/>
          <w:rFonts w:ascii="Times New Roman" w:hAnsi="Times New Roman" w:cs="Times New Roman"/>
        </w:rPr>
        <w:t>Avenida Dom João VI (antiga Avenida das Américas, nº 28.705), Gua</w:t>
      </w:r>
      <w:r>
        <w:rPr>
          <w:rStyle w:val="lrzxr"/>
          <w:rFonts w:ascii="Times New Roman" w:hAnsi="Times New Roman" w:cs="Times New Roman"/>
        </w:rPr>
        <w:t>ratiba, Rio de Janeiro, RJ (Centro Tecnológico do Exército).</w:t>
      </w:r>
    </w:p>
    <w:p w14:paraId="20643FB6" w14:textId="77777777" w:rsidR="00624D44" w:rsidRDefault="00624D44">
      <w:pPr>
        <w:pStyle w:val="Nivel2"/>
        <w:spacing w:before="0" w:after="0"/>
        <w:ind w:left="851"/>
        <w:rPr>
          <w:rFonts w:ascii="Times New Roman" w:hAnsi="Times New Roman"/>
          <w:bCs/>
          <w:color w:val="FF0000"/>
        </w:rPr>
      </w:pPr>
    </w:p>
    <w:p w14:paraId="40ECEC2E" w14:textId="77777777" w:rsidR="00624D44" w:rsidRDefault="008341FE">
      <w:pPr>
        <w:pStyle w:val="Nivel2"/>
        <w:spacing w:before="0" w:after="0"/>
        <w:ind w:left="432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</w:rPr>
        <w:t>5.5.</w:t>
      </w:r>
      <w:r>
        <w:rPr>
          <w:rFonts w:ascii="Times New Roman" w:hAnsi="Times New Roman"/>
          <w:bCs/>
          <w:color w:val="00000A"/>
        </w:rPr>
        <w:t xml:space="preserve"> Os bens serão recebidos provisoriamente, de forma sumária, no prazo de 15 (quinze) dias, pelo(a) responsável pelo acompanhamento e fiscalização do contrato, para efeito de posterior verific</w:t>
      </w:r>
      <w:r>
        <w:rPr>
          <w:rFonts w:ascii="Times New Roman" w:hAnsi="Times New Roman"/>
          <w:bCs/>
          <w:color w:val="00000A"/>
        </w:rPr>
        <w:t>ação de sua conformidade com as especificações constantes neste Termo de Referência e na proposta.</w:t>
      </w:r>
    </w:p>
    <w:p w14:paraId="5C2D69FD" w14:textId="77777777" w:rsidR="00624D44" w:rsidRDefault="00624D44">
      <w:pPr>
        <w:pStyle w:val="Nivel1"/>
        <w:spacing w:before="0" w:after="0"/>
        <w:ind w:left="360"/>
        <w:rPr>
          <w:rFonts w:ascii="Times New Roman" w:hAnsi="Times New Roman"/>
          <w:bCs/>
          <w:color w:val="00000A"/>
          <w:sz w:val="22"/>
          <w:szCs w:val="22"/>
        </w:rPr>
      </w:pPr>
    </w:p>
    <w:p w14:paraId="55480179" w14:textId="77777777" w:rsidR="00624D44" w:rsidRDefault="008341FE">
      <w:pPr>
        <w:pStyle w:val="Nivel2"/>
        <w:spacing w:before="0" w:after="0"/>
        <w:ind w:left="432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</w:rPr>
        <w:t>5.6.</w:t>
      </w:r>
      <w:r>
        <w:rPr>
          <w:rFonts w:ascii="Times New Roman" w:hAnsi="Times New Roman"/>
          <w:bCs/>
          <w:color w:val="00000A"/>
        </w:rPr>
        <w:t xml:space="preserve"> Os bens poderão ser rejeitados, no todo ou em parte, quando em desacordo com as especificações constantes neste Termo de Referência e na proposta, deve</w:t>
      </w:r>
      <w:r>
        <w:rPr>
          <w:rFonts w:ascii="Times New Roman" w:hAnsi="Times New Roman"/>
          <w:bCs/>
          <w:color w:val="00000A"/>
        </w:rPr>
        <w:t>ndo ser substituídos no prazo de 30 (trinta) dias, a contar da notificação da contratada, às suas custas, sem prejuízo da aplicação das penalidades.</w:t>
      </w:r>
    </w:p>
    <w:p w14:paraId="466D74BF" w14:textId="77777777" w:rsidR="00624D44" w:rsidRDefault="008341FE">
      <w:pPr>
        <w:pStyle w:val="Nivel2"/>
        <w:spacing w:before="0" w:after="0"/>
        <w:ind w:left="432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</w:rPr>
        <w:t>5.7.</w:t>
      </w:r>
      <w:r>
        <w:rPr>
          <w:rFonts w:ascii="Times New Roman" w:hAnsi="Times New Roman"/>
          <w:bCs/>
          <w:color w:val="00000A"/>
        </w:rPr>
        <w:t xml:space="preserve"> Os bens serão recebidos definitivamente no prazo de 30(trinta) dias, contados do recebimento provisóri</w:t>
      </w:r>
      <w:r>
        <w:rPr>
          <w:rFonts w:ascii="Times New Roman" w:hAnsi="Times New Roman"/>
          <w:bCs/>
          <w:color w:val="00000A"/>
        </w:rPr>
        <w:t>o, após a verificação da qualidade e quantidade do material e consequente aceitação mediante termo detalhado.</w:t>
      </w:r>
    </w:p>
    <w:p w14:paraId="70248B8A" w14:textId="77777777" w:rsidR="00624D44" w:rsidRDefault="00624D44">
      <w:pPr>
        <w:pStyle w:val="Nivel2"/>
        <w:spacing w:before="0" w:after="0"/>
        <w:ind w:left="284"/>
        <w:rPr>
          <w:rFonts w:ascii="Times New Roman" w:hAnsi="Times New Roman"/>
          <w:bCs/>
          <w:color w:val="00000A"/>
        </w:rPr>
      </w:pPr>
    </w:p>
    <w:p w14:paraId="450A2A43" w14:textId="77777777" w:rsidR="00624D44" w:rsidRDefault="008341FE">
      <w:pPr>
        <w:pStyle w:val="Nivel2"/>
        <w:spacing w:before="0" w:after="0"/>
        <w:ind w:left="930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</w:rPr>
        <w:t>5.7.1.</w:t>
      </w:r>
      <w:r>
        <w:rPr>
          <w:rFonts w:ascii="Times New Roman" w:hAnsi="Times New Roman"/>
          <w:bCs/>
          <w:color w:val="00000A"/>
        </w:rPr>
        <w:t xml:space="preserve"> Na hipótese de a verificação a que se refere o subitem anterior não ser procedida dentro do prazo fixado, reputar-se-á como realizada, con</w:t>
      </w:r>
      <w:r>
        <w:rPr>
          <w:rFonts w:ascii="Times New Roman" w:hAnsi="Times New Roman"/>
          <w:bCs/>
          <w:color w:val="00000A"/>
        </w:rPr>
        <w:t>sumando-se o recebimento definitivo no dia do esgotamento do prazo.</w:t>
      </w:r>
    </w:p>
    <w:p w14:paraId="3204335E" w14:textId="77777777" w:rsidR="00624D44" w:rsidRDefault="008341FE">
      <w:pPr>
        <w:pStyle w:val="Nivel2"/>
        <w:spacing w:before="0" w:after="0"/>
        <w:ind w:left="716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</w:rPr>
        <w:t xml:space="preserve">5.8. </w:t>
      </w:r>
      <w:r>
        <w:rPr>
          <w:rFonts w:ascii="Times New Roman" w:hAnsi="Times New Roman"/>
          <w:bCs/>
          <w:color w:val="00000A"/>
        </w:rPr>
        <w:t xml:space="preserve">O recebimento provisório ou definitivo não excluirá a responsabilidade civil pela solidez e pela segurança do serviço nem a responsabilidade ético-profissional pela perfeita execução </w:t>
      </w:r>
      <w:r>
        <w:rPr>
          <w:rFonts w:ascii="Times New Roman" w:hAnsi="Times New Roman"/>
          <w:bCs/>
          <w:color w:val="00000A"/>
        </w:rPr>
        <w:t>do contrato.</w:t>
      </w:r>
    </w:p>
    <w:p w14:paraId="66336D9F" w14:textId="77777777" w:rsidR="00624D44" w:rsidRDefault="00624D44">
      <w:pPr>
        <w:pStyle w:val="Nivel1"/>
        <w:spacing w:before="0" w:after="0"/>
        <w:ind w:left="360" w:hanging="360"/>
        <w:rPr>
          <w:rFonts w:ascii="Times New Roman" w:hAnsi="Times New Roman"/>
          <w:color w:val="FF0000"/>
          <w:sz w:val="22"/>
          <w:szCs w:val="22"/>
        </w:rPr>
      </w:pPr>
    </w:p>
    <w:p w14:paraId="5E0149BF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ESPECIFICAÇÃO DA GARANTIA CONTRATUAL EXIGIDA E DAS CONDIÇÕES DE MANUTENÇÃO E ASSISTÊNCIA TÉCNICA (art. 40, §1º, inciso III, da Lei nº 14.133/2021) </w:t>
      </w:r>
    </w:p>
    <w:p w14:paraId="72770E2F" w14:textId="77777777" w:rsidR="00624D44" w:rsidRDefault="00624D44">
      <w:pPr>
        <w:pStyle w:val="PargrafodaLista"/>
        <w:spacing w:after="0" w:line="276" w:lineRule="auto"/>
        <w:ind w:left="858"/>
        <w:jc w:val="both"/>
        <w:rPr>
          <w:rFonts w:ascii="Times New Roman" w:hAnsi="Times New Roman" w:cs="Arial"/>
          <w:b/>
          <w:i/>
          <w:color w:val="FF0000"/>
        </w:rPr>
      </w:pPr>
    </w:p>
    <w:p w14:paraId="5C680D32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lastRenderedPageBreak/>
        <w:t xml:space="preserve">A garantia será prestada com vistas a manter os equipamentos fornecidos em perfeitas condições de uso, sem </w:t>
      </w:r>
      <w:r>
        <w:rPr>
          <w:rFonts w:ascii="Times New Roman" w:hAnsi="Times New Roman" w:cs="Arial"/>
          <w:bCs/>
          <w:color w:val="000000"/>
        </w:rPr>
        <w:t xml:space="preserve">qualquer ônus ou custo adicional para o Contratante. </w:t>
      </w:r>
    </w:p>
    <w:p w14:paraId="1ECF1534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 xml:space="preserve">A garantia abrange a realização da manutenção corretiva dos bens pelo próprio Contratado, ou, se for o caso, por meio de assistência técnica autorizada, de acordo com as normas técnicas específicas. </w:t>
      </w:r>
    </w:p>
    <w:p w14:paraId="096D1DCC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En</w:t>
      </w:r>
      <w:r>
        <w:rPr>
          <w:rFonts w:ascii="Times New Roman" w:hAnsi="Times New Roman" w:cs="Arial"/>
          <w:bCs/>
          <w:color w:val="000000"/>
        </w:rPr>
        <w:t xml:space="preserve">tende-se por manutenção corretiva aquela destinada a corrigir os defeitos apresentados pelos bens, compreendendo a substituição de peças, a realização de ajustes, reparos e correções necessárias. </w:t>
      </w:r>
    </w:p>
    <w:p w14:paraId="3A1CCD89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Cs/>
          <w:color w:val="000000"/>
        </w:rPr>
        <w:t>As peças que apresentarem vício ou defeito no período de vi</w:t>
      </w:r>
      <w:r>
        <w:rPr>
          <w:rFonts w:ascii="Times New Roman" w:hAnsi="Times New Roman" w:cs="Arial"/>
          <w:bCs/>
          <w:color w:val="000000"/>
        </w:rPr>
        <w:t>gência da garantia deverão ser substituídas por outras novas, de primeiro uso, e originais, que apresentem padrões de qualidade e desempenho iguais ou superiores aos das peças utilizadas na fabricação do equipamento.</w:t>
      </w:r>
      <w:r>
        <w:rPr>
          <w:rFonts w:ascii="Times New Roman" w:hAnsi="Times New Roman" w:cs="Arial"/>
          <w:bCs/>
          <w:i/>
          <w:iCs/>
          <w:color w:val="FF0000"/>
        </w:rPr>
        <w:t xml:space="preserve"> </w:t>
      </w:r>
    </w:p>
    <w:p w14:paraId="7E05E3F9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 xml:space="preserve">O prazo indicado no subitem anterior, </w:t>
      </w:r>
      <w:r>
        <w:rPr>
          <w:rFonts w:ascii="Times New Roman" w:hAnsi="Times New Roman" w:cs="Arial"/>
          <w:bCs/>
          <w:color w:val="000000"/>
        </w:rPr>
        <w:t xml:space="preserve">durante seu transcurso, poderá ser prorrogado uma única vez, por igual período, mediante solicitação escrita e justificada do Contratado, aceita pelo Contratante. </w:t>
      </w:r>
    </w:p>
    <w:p w14:paraId="4307B42E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Na hipótese do subitem acima, o Contratado deverá disponibilizar equipamento equivalente, de</w:t>
      </w:r>
      <w:r>
        <w:rPr>
          <w:rFonts w:ascii="Times New Roman" w:hAnsi="Times New Roman" w:cs="Arial"/>
          <w:bCs/>
          <w:color w:val="000000"/>
        </w:rPr>
        <w:t xml:space="preserve"> especificação igual ou superior ao anteriormente fornecido, para utilização em caráter provisório pelo Contratante, de modo a garantir a continuidade dos trabalhos administrativos durante a execução dos reparos. </w:t>
      </w:r>
    </w:p>
    <w:p w14:paraId="199811C5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Cs/>
          <w:color w:val="000000"/>
        </w:rPr>
        <w:t>Decorrido o prazo para reparos e substitui</w:t>
      </w:r>
      <w:r>
        <w:rPr>
          <w:rFonts w:ascii="Times New Roman" w:hAnsi="Times New Roman" w:cs="Arial"/>
          <w:bCs/>
          <w:color w:val="000000"/>
        </w:rPr>
        <w:t xml:space="preserve">ções sem o atendimento da solicitação do Contratante ou a apresentação de justificativas pelo Contratado, fica o Contratante autorizado a contratar empresa diversa para executar os reparos, ajustes ou a substituição do bem ou de seus componentes, bem como </w:t>
      </w:r>
      <w:r>
        <w:rPr>
          <w:rFonts w:ascii="Times New Roman" w:hAnsi="Times New Roman" w:cs="Arial"/>
          <w:bCs/>
          <w:color w:val="000000"/>
        </w:rPr>
        <w:t>a exigir do Contratado o reembolso pelos custos respectivos, sem que tal fato acarrete a perda da garantia dos equipamentos.</w:t>
      </w:r>
      <w:r>
        <w:rPr>
          <w:rFonts w:ascii="Times New Roman" w:hAnsi="Times New Roman" w:cs="Arial"/>
          <w:bCs/>
          <w:i/>
          <w:iCs/>
          <w:color w:val="FF0000"/>
        </w:rPr>
        <w:t xml:space="preserve"> </w:t>
      </w:r>
    </w:p>
    <w:p w14:paraId="79EE69DC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 xml:space="preserve">O custo referente ao transporte dos equipamentos cobertos pela garantia será de responsabilidade do Contratado. </w:t>
      </w:r>
    </w:p>
    <w:p w14:paraId="4A601F12" w14:textId="77777777" w:rsidR="00624D44" w:rsidRDefault="008341FE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 xml:space="preserve">A garantia legal </w:t>
      </w:r>
      <w:r>
        <w:rPr>
          <w:rFonts w:ascii="Times New Roman" w:hAnsi="Times New Roman" w:cs="Arial"/>
          <w:bCs/>
          <w:color w:val="000000"/>
        </w:rPr>
        <w:t>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6494E302" w14:textId="77777777" w:rsidR="00624D44" w:rsidRDefault="00624D44">
      <w:pPr>
        <w:rPr>
          <w:rFonts w:ascii="Times New Roman" w:hAnsi="Times New Roman"/>
        </w:rPr>
      </w:pPr>
    </w:p>
    <w:p w14:paraId="3ED5AC07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MODELO DE </w:t>
      </w:r>
      <w:r>
        <w:rPr>
          <w:rFonts w:ascii="Times New Roman" w:hAnsi="Times New Roman"/>
          <w:sz w:val="22"/>
          <w:szCs w:val="22"/>
        </w:rPr>
        <w:t>GESTÃO DO CONTRATO (art. 6º, XXIII, alínea “f”, da Lei nº 14.133/21)</w:t>
      </w:r>
    </w:p>
    <w:p w14:paraId="26355C64" w14:textId="77777777" w:rsidR="00624D44" w:rsidRDefault="00624D44">
      <w:pPr>
        <w:pStyle w:val="Nivel2"/>
        <w:spacing w:before="0" w:after="0"/>
        <w:rPr>
          <w:rFonts w:ascii="Times New Roman" w:hAnsi="Times New Roman"/>
          <w:color w:val="00000A"/>
        </w:rPr>
      </w:pPr>
    </w:p>
    <w:p w14:paraId="6826259E" w14:textId="77777777" w:rsidR="00624D44" w:rsidRDefault="008341FE">
      <w:pPr>
        <w:pStyle w:val="Nivel2"/>
        <w:numPr>
          <w:ilvl w:val="1"/>
          <w:numId w:val="14"/>
        </w:numPr>
        <w:spacing w:before="0" w:after="0"/>
        <w:ind w:left="0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O contrato deverá ser executado fielmente pelas partes, de acordo com as cláusulas avençadas e as normas da Lei nº 14.133, de 2021, e cada parte responderá pelas consequências de sua ine</w:t>
      </w:r>
      <w:r>
        <w:rPr>
          <w:rFonts w:ascii="Times New Roman" w:hAnsi="Times New Roman"/>
          <w:color w:val="00000A"/>
        </w:rPr>
        <w:t xml:space="preserve">xecução total ou parcial (Lei nº 14.133/2021, art. 115, </w:t>
      </w:r>
      <w:r>
        <w:rPr>
          <w:rFonts w:ascii="Times New Roman" w:hAnsi="Times New Roman"/>
          <w:i/>
          <w:iCs/>
          <w:color w:val="00000A"/>
        </w:rPr>
        <w:t>caput</w:t>
      </w:r>
      <w:r>
        <w:rPr>
          <w:rFonts w:ascii="Times New Roman" w:hAnsi="Times New Roman"/>
          <w:color w:val="00000A"/>
        </w:rPr>
        <w:t>).</w:t>
      </w:r>
    </w:p>
    <w:p w14:paraId="1A7E0E92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00000A"/>
        </w:rPr>
      </w:pPr>
      <w:bookmarkStart w:id="1" w:name="art115§5"/>
      <w:bookmarkStart w:id="2" w:name="art115§1"/>
      <w:bookmarkEnd w:id="1"/>
      <w:bookmarkEnd w:id="2"/>
      <w:r>
        <w:rPr>
          <w:rFonts w:ascii="Times New Roman" w:hAnsi="Times New Roman"/>
          <w:color w:val="00000A"/>
        </w:rPr>
        <w:t>Em caso de impedimento, ordem de paralisação ou suspensão do contrato, o cronograma de execução será prorrogado automaticamente pelo tempo correspondente, anotadas tais circunstâncias mediante</w:t>
      </w:r>
      <w:r>
        <w:rPr>
          <w:rFonts w:ascii="Times New Roman" w:hAnsi="Times New Roman"/>
          <w:color w:val="00000A"/>
        </w:rPr>
        <w:t xml:space="preserve"> simples apostila (Lei nº 14.133/2021, art. 115, §5º).</w:t>
      </w:r>
    </w:p>
    <w:p w14:paraId="7101A74A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bookmarkStart w:id="3" w:name="art116"/>
      <w:bookmarkEnd w:id="3"/>
      <w:r>
        <w:rPr>
          <w:rFonts w:ascii="Times New Roman" w:hAnsi="Times New Roman"/>
          <w:color w:val="00000A"/>
        </w:rPr>
        <w:t>A execução do contrato deverá ser acompanhada e fiscalizada pelo(s) fiscal(</w:t>
      </w:r>
      <w:proofErr w:type="spellStart"/>
      <w:r>
        <w:rPr>
          <w:rFonts w:ascii="Times New Roman" w:hAnsi="Times New Roman"/>
          <w:color w:val="00000A"/>
        </w:rPr>
        <w:t>is</w:t>
      </w:r>
      <w:proofErr w:type="spellEnd"/>
      <w:r>
        <w:rPr>
          <w:rFonts w:ascii="Times New Roman" w:hAnsi="Times New Roman"/>
          <w:color w:val="00000A"/>
        </w:rPr>
        <w:t xml:space="preserve">) do contrato, ou pelos respectivos substitutos (Lei nº 14.133/2021, art. 117, </w:t>
      </w:r>
      <w:r>
        <w:rPr>
          <w:rFonts w:ascii="Times New Roman" w:hAnsi="Times New Roman"/>
          <w:i/>
          <w:iCs/>
          <w:color w:val="00000A"/>
        </w:rPr>
        <w:t>caput</w:t>
      </w:r>
      <w:r>
        <w:rPr>
          <w:rFonts w:ascii="Times New Roman" w:hAnsi="Times New Roman"/>
          <w:color w:val="00000A"/>
        </w:rPr>
        <w:t>).</w:t>
      </w:r>
    </w:p>
    <w:p w14:paraId="677BC12F" w14:textId="77777777" w:rsidR="00624D44" w:rsidRDefault="008341FE">
      <w:pPr>
        <w:pStyle w:val="Nivel3"/>
        <w:numPr>
          <w:ilvl w:val="2"/>
          <w:numId w:val="2"/>
        </w:numPr>
        <w:spacing w:before="0" w:after="0"/>
        <w:ind w:left="425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 fiscal do contrato anotará em </w:t>
      </w:r>
      <w:r>
        <w:rPr>
          <w:rFonts w:ascii="Times New Roman" w:hAnsi="Times New Roman"/>
          <w:sz w:val="22"/>
          <w:szCs w:val="22"/>
        </w:rPr>
        <w:t>registro próprio todas as ocorrências relacionadas à execução do contrato, determinando o que for necessário para a regularização das faltas ou dos defeitos observados (Lei nº 14.133/2021, art. 117, §1º).</w:t>
      </w:r>
    </w:p>
    <w:p w14:paraId="11AF194B" w14:textId="77777777" w:rsidR="00624D44" w:rsidRDefault="008341FE">
      <w:pPr>
        <w:pStyle w:val="Nivel3"/>
        <w:numPr>
          <w:ilvl w:val="2"/>
          <w:numId w:val="2"/>
        </w:numPr>
        <w:spacing w:before="0" w:after="0"/>
        <w:ind w:left="425" w:firstLine="0"/>
        <w:rPr>
          <w:rFonts w:ascii="Times New Roman" w:hAnsi="Times New Roman"/>
          <w:sz w:val="22"/>
          <w:szCs w:val="22"/>
        </w:rPr>
      </w:pPr>
      <w:bookmarkStart w:id="4" w:name="art117§2"/>
      <w:bookmarkEnd w:id="4"/>
      <w:r>
        <w:rPr>
          <w:rFonts w:ascii="Times New Roman" w:hAnsi="Times New Roman"/>
          <w:sz w:val="22"/>
          <w:szCs w:val="22"/>
        </w:rPr>
        <w:t>O fiscal do contrato informará a seus superiores, e</w:t>
      </w:r>
      <w:r>
        <w:rPr>
          <w:rFonts w:ascii="Times New Roman" w:hAnsi="Times New Roman"/>
          <w:sz w:val="22"/>
          <w:szCs w:val="22"/>
        </w:rPr>
        <w:t>m tempo hábil para a adoção das medidas convenientes, a situação que demandar decisão ou providência que ultrapasse sua competência (Lei nº 14.133/2021, art. 117, §2º).</w:t>
      </w:r>
    </w:p>
    <w:p w14:paraId="056A1755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00000A"/>
        </w:rPr>
      </w:pPr>
      <w:r>
        <w:rPr>
          <w:rFonts w:ascii="Times New Roman" w:hAnsi="Times New Roman"/>
          <w:color w:val="00000A"/>
        </w:rPr>
        <w:lastRenderedPageBreak/>
        <w:t>O contratado será obrigado a reparar, corrigir, remover, reconstruir ou substituir, a s</w:t>
      </w:r>
      <w:r>
        <w:rPr>
          <w:rFonts w:ascii="Times New Roman" w:hAnsi="Times New Roman"/>
          <w:color w:val="00000A"/>
        </w:rPr>
        <w:t>uas expensas, no total ou em parte, o objeto do contrato em que se verificarem vícios, defeitos ou incorreções resultantes de sua execução ou de materiais nela empregados (Lei nº 14.133/2021, art. 119).</w:t>
      </w:r>
    </w:p>
    <w:p w14:paraId="520DDD7D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00000A"/>
        </w:rPr>
      </w:pPr>
      <w:bookmarkStart w:id="5" w:name="art120"/>
      <w:bookmarkEnd w:id="5"/>
      <w:r>
        <w:rPr>
          <w:rFonts w:ascii="Times New Roman" w:hAnsi="Times New Roman"/>
          <w:color w:val="00000A"/>
        </w:rPr>
        <w:t>O contratado será responsável pelos danos causados di</w:t>
      </w:r>
      <w:r>
        <w:rPr>
          <w:rFonts w:ascii="Times New Roman" w:hAnsi="Times New Roman"/>
          <w:color w:val="00000A"/>
        </w:rPr>
        <w:t>retamente à Administração ou a terceiros em razão da execução do contrato, e não excluirá nem reduzirá essa responsabilidade a fiscalização ou o acompanhamento pelo contratante (Lei nº 14.133/2021, art. 120).</w:t>
      </w:r>
    </w:p>
    <w:p w14:paraId="78F6D46E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bookmarkStart w:id="6" w:name="art121"/>
      <w:bookmarkEnd w:id="6"/>
      <w:r>
        <w:rPr>
          <w:rFonts w:ascii="Times New Roman" w:hAnsi="Times New Roman"/>
          <w:color w:val="00000A"/>
        </w:rPr>
        <w:t>Somente o contratado será responsável pelos enc</w:t>
      </w:r>
      <w:r>
        <w:rPr>
          <w:rFonts w:ascii="Times New Roman" w:hAnsi="Times New Roman"/>
          <w:color w:val="00000A"/>
        </w:rPr>
        <w:t xml:space="preserve">argos trabalhistas, previdenciários, fiscais e comerciais resultantes da execução do contrato (Lei nº 14.133/2021, art. 121, </w:t>
      </w:r>
      <w:r>
        <w:rPr>
          <w:rFonts w:ascii="Times New Roman" w:hAnsi="Times New Roman"/>
          <w:i/>
          <w:iCs/>
          <w:color w:val="00000A"/>
        </w:rPr>
        <w:t>caput</w:t>
      </w:r>
      <w:r>
        <w:rPr>
          <w:rFonts w:ascii="Times New Roman" w:hAnsi="Times New Roman"/>
          <w:color w:val="00000A"/>
        </w:rPr>
        <w:t>).</w:t>
      </w:r>
    </w:p>
    <w:p w14:paraId="30407FDD" w14:textId="77777777" w:rsidR="00624D44" w:rsidRDefault="008341FE">
      <w:pPr>
        <w:pStyle w:val="Nivel3"/>
        <w:numPr>
          <w:ilvl w:val="2"/>
          <w:numId w:val="2"/>
        </w:numPr>
        <w:spacing w:before="0" w:after="0"/>
        <w:ind w:left="425" w:firstLine="0"/>
        <w:rPr>
          <w:rFonts w:ascii="Times New Roman" w:hAnsi="Times New Roman"/>
          <w:sz w:val="22"/>
          <w:szCs w:val="22"/>
        </w:rPr>
      </w:pPr>
      <w:bookmarkStart w:id="7" w:name="art121§1"/>
      <w:bookmarkEnd w:id="7"/>
      <w:r>
        <w:rPr>
          <w:rFonts w:ascii="Times New Roman" w:hAnsi="Times New Roman"/>
          <w:sz w:val="22"/>
          <w:szCs w:val="22"/>
        </w:rPr>
        <w:t xml:space="preserve">A inadimplência do contratado em relação aos encargos trabalhistas, fiscais e comerciais não transferirá à Administração a </w:t>
      </w:r>
      <w:r>
        <w:rPr>
          <w:rFonts w:ascii="Times New Roman" w:hAnsi="Times New Roman"/>
          <w:sz w:val="22"/>
          <w:szCs w:val="22"/>
        </w:rPr>
        <w:t>responsabilidade pelo seu pagamento e não poderá onerar o objeto do contrato (Lei nº 14.133/2021, art. 121, §1º).</w:t>
      </w:r>
    </w:p>
    <w:p w14:paraId="35761D86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bookmarkStart w:id="8" w:name="art123"/>
      <w:bookmarkStart w:id="9" w:name="art122§3"/>
      <w:bookmarkStart w:id="10" w:name="art122§2"/>
      <w:bookmarkStart w:id="11" w:name="art122§1"/>
      <w:bookmarkStart w:id="12" w:name="art122"/>
      <w:bookmarkEnd w:id="8"/>
      <w:bookmarkEnd w:id="9"/>
      <w:bookmarkEnd w:id="10"/>
      <w:bookmarkEnd w:id="11"/>
      <w:bookmarkEnd w:id="12"/>
      <w:r>
        <w:rPr>
          <w:rFonts w:ascii="Times New Roman" w:hAnsi="Times New Roman"/>
        </w:rPr>
        <w:t>As comunicações entre o órgão ou entidade e a contratada devem ser realizadas por escrito sempre que o ato exigir tal formalidade, admitindo-s</w:t>
      </w:r>
      <w:r>
        <w:rPr>
          <w:rFonts w:ascii="Times New Roman" w:hAnsi="Times New Roman"/>
        </w:rPr>
        <w:t>e, excepcionalmente, o uso de mensagem eletrônica para esse fim (IN 5/2017, art. 44, §2º).</w:t>
      </w:r>
    </w:p>
    <w:p w14:paraId="0F576829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O órgão ou entidade poderá convocar representante da empresa para adoção de providências que devam ser cumpridas de imediato (IN 5/2017, art. 44, 31º).</w:t>
      </w:r>
    </w:p>
    <w:p w14:paraId="2743B580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Antes do paga</w:t>
      </w:r>
      <w:r>
        <w:rPr>
          <w:rFonts w:ascii="Times New Roman" w:hAnsi="Times New Roman"/>
        </w:rPr>
        <w:t>mento da nota fiscal ou da fatura, deverá ser consultada a situação da empresa junto ao SICAF.</w:t>
      </w:r>
    </w:p>
    <w:p w14:paraId="6B96C9B6" w14:textId="77777777" w:rsidR="00624D44" w:rsidRDefault="008341FE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Serão exigidos a Certidão Negativa de Débito (CND) relativa a Créditos Tributários Federais e à Dívida Ativa da União, o Certificado de Regularidade do FGTS (CRF</w:t>
      </w:r>
      <w:r>
        <w:rPr>
          <w:rFonts w:ascii="Times New Roman" w:hAnsi="Times New Roman"/>
        </w:rPr>
        <w:t>) e a Certidão Negativa de Débitos Trabalhistas (CNDT), caso esses documentos não estejam regularizados no SICAF.</w:t>
      </w:r>
    </w:p>
    <w:p w14:paraId="12C53FA2" w14:textId="77777777" w:rsidR="00624D44" w:rsidRDefault="00624D44">
      <w:pPr>
        <w:rPr>
          <w:rFonts w:ascii="Times New Roman" w:hAnsi="Times New Roman"/>
        </w:rPr>
      </w:pPr>
    </w:p>
    <w:p w14:paraId="3426EEB6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i/>
          <w:iCs/>
        </w:rPr>
      </w:pPr>
      <w:r>
        <w:rPr>
          <w:rFonts w:ascii="Times New Roman" w:hAnsi="Times New Roman"/>
          <w:i/>
          <w:iCs/>
          <w:sz w:val="22"/>
          <w:szCs w:val="22"/>
        </w:rPr>
        <w:t>FORMA E CRITÉRIOS DE SELEÇÃO DO FORNECEDOR MEDIANTE O USO DO SISTEMA DE DISPENSA ELETRÔNICA (art. 6º, inciso XXIII, alínea ‘h’, da Lei nº 14.</w:t>
      </w:r>
      <w:r>
        <w:rPr>
          <w:rFonts w:ascii="Times New Roman" w:hAnsi="Times New Roman"/>
          <w:i/>
          <w:iCs/>
          <w:sz w:val="22"/>
          <w:szCs w:val="22"/>
        </w:rPr>
        <w:t xml:space="preserve">133/2021) </w:t>
      </w:r>
    </w:p>
    <w:p w14:paraId="54A0932F" w14:textId="77777777" w:rsidR="00624D44" w:rsidRDefault="00624D44">
      <w:pPr>
        <w:rPr>
          <w:rFonts w:ascii="Times New Roman" w:hAnsi="Times New Roman"/>
        </w:rPr>
      </w:pPr>
    </w:p>
    <w:p w14:paraId="2F3B4E76" w14:textId="77777777" w:rsidR="00624D44" w:rsidRDefault="008341FE">
      <w:pPr>
        <w:pStyle w:val="Nivel2"/>
        <w:numPr>
          <w:ilvl w:val="1"/>
          <w:numId w:val="15"/>
        </w:numPr>
        <w:spacing w:before="0" w:after="0"/>
        <w:ind w:left="0"/>
        <w:rPr>
          <w:i/>
          <w:iCs/>
          <w:color w:val="auto"/>
        </w:rPr>
      </w:pPr>
      <w:r>
        <w:rPr>
          <w:rFonts w:ascii="Times New Roman" w:hAnsi="Times New Roman"/>
          <w:i/>
          <w:iCs/>
          <w:color w:val="auto"/>
        </w:rPr>
        <w:t>O fornecedor será selecionado por meio da realização de procedimento de dispensa de licitação, na forma eletrônica, com fundamento na hipótese do art. 75, inciso II da Lei n.º 14.133/2021, que culminará com a seleção da proposta de menor preço)</w:t>
      </w:r>
      <w:r>
        <w:rPr>
          <w:rFonts w:ascii="Times New Roman" w:hAnsi="Times New Roman"/>
          <w:i/>
          <w:iCs/>
          <w:color w:val="auto"/>
        </w:rPr>
        <w:t xml:space="preserve">.  </w:t>
      </w:r>
    </w:p>
    <w:p w14:paraId="113DDD49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pt-BR"/>
        </w:rPr>
        <w:t xml:space="preserve">As exigências de habilitação jurídica, </w:t>
      </w:r>
      <w:r>
        <w:rPr>
          <w:rFonts w:ascii="Times New Roman" w:eastAsia="WenQuanYi Micro Hei" w:hAnsi="Times New Roman"/>
          <w:lang w:eastAsia="zh-CN" w:bidi="hi-IN"/>
        </w:rPr>
        <w:t xml:space="preserve">fiscal, social e trabalhista </w:t>
      </w:r>
      <w:r>
        <w:rPr>
          <w:rFonts w:ascii="Times New Roman" w:eastAsia="Times New Roman" w:hAnsi="Times New Roman"/>
          <w:lang w:eastAsia="pt-BR"/>
        </w:rPr>
        <w:t xml:space="preserve">são as usuais para a generalidade dos objetos, conforme disciplinado no Anexo I do Aviso de </w:t>
      </w:r>
      <w:r>
        <w:rPr>
          <w:rFonts w:ascii="Times New Roman" w:hAnsi="Times New Roman"/>
        </w:rPr>
        <w:t>Contratação</w:t>
      </w:r>
      <w:r>
        <w:rPr>
          <w:rFonts w:ascii="Times New Roman" w:eastAsia="Times New Roman" w:hAnsi="Times New Roman"/>
          <w:lang w:eastAsia="pt-BR"/>
        </w:rPr>
        <w:t xml:space="preserve"> Direta.</w:t>
      </w:r>
    </w:p>
    <w:p w14:paraId="0D5EF9E3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0" w:firstLine="0"/>
        <w:rPr>
          <w:rFonts w:eastAsia="Times New Roman"/>
          <w:lang w:eastAsia="pt-BR"/>
        </w:rPr>
      </w:pPr>
      <w:r>
        <w:rPr>
          <w:rFonts w:ascii="Times New Roman" w:eastAsia="Times New Roman" w:hAnsi="Times New Roman"/>
          <w:lang w:eastAsia="pt-BR"/>
        </w:rPr>
        <w:t xml:space="preserve">Os critérios de habilitação econômico-financeira a serem atendidos pelo </w:t>
      </w:r>
      <w:r>
        <w:rPr>
          <w:rFonts w:ascii="Times New Roman" w:eastAsia="Times New Roman" w:hAnsi="Times New Roman"/>
          <w:lang w:eastAsia="pt-BR"/>
        </w:rPr>
        <w:t>fornecedor estão previstos no Anexo I do Aviso de Contratação Direta.</w:t>
      </w:r>
    </w:p>
    <w:p w14:paraId="0FA52E11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0" w:firstLine="0"/>
        <w:rPr>
          <w:rFonts w:eastAsia="Times New Roman"/>
          <w:lang w:eastAsia="pt-BR"/>
        </w:rPr>
      </w:pPr>
      <w:r>
        <w:rPr>
          <w:rFonts w:ascii="Times New Roman" w:eastAsia="Times New Roman" w:hAnsi="Times New Roman"/>
          <w:lang w:eastAsia="pt-BR"/>
        </w:rPr>
        <w:t>Os critérios de habilitação técnica a serem atendidos pelo fornecedor serão:</w:t>
      </w:r>
    </w:p>
    <w:p w14:paraId="4EE50948" w14:textId="77777777" w:rsidR="00624D44" w:rsidRDefault="00624D44">
      <w:pPr>
        <w:pStyle w:val="Nivel2"/>
        <w:spacing w:before="0" w:after="0"/>
        <w:ind w:left="930"/>
        <w:rPr>
          <w:rFonts w:ascii="Times New Roman" w:hAnsi="Times New Roman"/>
          <w:bCs/>
        </w:rPr>
      </w:pPr>
    </w:p>
    <w:p w14:paraId="43A1F775" w14:textId="77777777" w:rsidR="00624D44" w:rsidRDefault="008341FE">
      <w:pPr>
        <w:pStyle w:val="Nivel2"/>
        <w:numPr>
          <w:ilvl w:val="2"/>
          <w:numId w:val="1"/>
        </w:numPr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Comprovação</w:t>
      </w:r>
      <w:r>
        <w:rPr>
          <w:rFonts w:ascii="Times New Roman" w:eastAsia="Times New Roman" w:hAnsi="Times New Roman"/>
          <w:lang w:eastAsia="pt-BR"/>
        </w:rPr>
        <w:t xml:space="preserve"> de aptidão para o fornecimento de bens similares de complexidade tecnológica e operacional equivalente ou superior com o objeto desta contratação, ou com o item pertinente, por meio da apresentação de certidões ou atestados, por pessoas jurídicas de direi</w:t>
      </w:r>
      <w:r>
        <w:rPr>
          <w:rFonts w:ascii="Times New Roman" w:eastAsia="Times New Roman" w:hAnsi="Times New Roman"/>
          <w:lang w:eastAsia="pt-BR"/>
        </w:rPr>
        <w:t>to público ou privado, ou regularmente emitido(s) pelo conselho profissional competente, quando for o caso.</w:t>
      </w:r>
    </w:p>
    <w:p w14:paraId="379F1759" w14:textId="77777777" w:rsidR="00624D44" w:rsidRDefault="00624D44">
      <w:pPr>
        <w:pStyle w:val="Nivel2"/>
        <w:spacing w:before="0" w:after="0"/>
        <w:ind w:left="930"/>
        <w:rPr>
          <w:rFonts w:ascii="Times New Roman" w:hAnsi="Times New Roman"/>
          <w:bCs/>
          <w:i/>
          <w:iCs/>
          <w:color w:val="FF0000"/>
        </w:rPr>
      </w:pPr>
    </w:p>
    <w:p w14:paraId="6D4F94FC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  <w:i/>
          <w:color w:val="auto"/>
        </w:rPr>
        <w:t>O fornecedor será selecionado por meio da realização de procedimento de dispensa de licitação, com fundamento na hipótese do art. 75, inciso II, da</w:t>
      </w:r>
      <w:r>
        <w:rPr>
          <w:rFonts w:ascii="Times New Roman" w:hAnsi="Times New Roman"/>
          <w:i/>
          <w:color w:val="auto"/>
        </w:rPr>
        <w:t xml:space="preserve"> Lei nº 14.133/2021 </w:t>
      </w:r>
      <w:r>
        <w:rPr>
          <w:rFonts w:ascii="Times New Roman" w:hAnsi="Times New Roman"/>
          <w:i/>
          <w:iCs/>
          <w:color w:val="auto"/>
        </w:rPr>
        <w:t xml:space="preserve">(indicar um dos incisos do art. 75, da Lei nº 14.133/2021, conforme o caso concreto). </w:t>
      </w:r>
    </w:p>
    <w:p w14:paraId="211377B7" w14:textId="77777777" w:rsidR="00624D44" w:rsidRDefault="00624D44">
      <w:pPr>
        <w:pStyle w:val="Nivel2"/>
        <w:spacing w:before="0" w:after="0"/>
        <w:rPr>
          <w:rFonts w:ascii="Times New Roman" w:hAnsi="Times New Roman"/>
          <w:i/>
          <w:color w:val="FF0000"/>
        </w:rPr>
      </w:pPr>
    </w:p>
    <w:p w14:paraId="02E47E2D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Previamente à celebração do contrato, a Administração verificará o eventual descumprimento das condições para contratação, especialmente quanto à ex</w:t>
      </w:r>
      <w:r>
        <w:rPr>
          <w:rFonts w:ascii="Times New Roman" w:hAnsi="Times New Roman"/>
        </w:rPr>
        <w:t>istência de sanção que a impeça, mediante a consulta a cadastros informativos oficiais, tais como:</w:t>
      </w:r>
    </w:p>
    <w:p w14:paraId="12C93DE5" w14:textId="77777777" w:rsidR="00624D44" w:rsidRDefault="008341FE">
      <w:pPr>
        <w:pStyle w:val="PargrafodaLista"/>
        <w:spacing w:before="120" w:after="120" w:line="276" w:lineRule="auto"/>
        <w:ind w:left="1134"/>
        <w:jc w:val="both"/>
        <w:rPr>
          <w:rFonts w:cs="Arial"/>
          <w:color w:val="000000"/>
          <w:lang w:eastAsia="ar-SA"/>
        </w:rPr>
      </w:pPr>
      <w:r>
        <w:rPr>
          <w:rFonts w:ascii="Times New Roman" w:hAnsi="Times New Roman" w:cs="Arial"/>
          <w:color w:val="000000"/>
          <w:lang w:eastAsia="ar-SA"/>
        </w:rPr>
        <w:t xml:space="preserve">a) SICAF;  </w:t>
      </w:r>
    </w:p>
    <w:p w14:paraId="4D5840DA" w14:textId="77777777" w:rsidR="00624D44" w:rsidRDefault="008341FE">
      <w:pPr>
        <w:pStyle w:val="PargrafodaLista"/>
        <w:spacing w:before="120" w:after="120" w:line="276" w:lineRule="auto"/>
        <w:ind w:left="1134"/>
        <w:jc w:val="both"/>
      </w:pPr>
      <w:r>
        <w:rPr>
          <w:rFonts w:ascii="Times New Roman" w:hAnsi="Times New Roman" w:cs="Arial"/>
          <w:color w:val="000000"/>
          <w:lang w:eastAsia="ar-SA"/>
        </w:rPr>
        <w:t>b) Cadastro Nacional de Empresas Inidôneas e Suspensas - CEIS, mantido pela Controladoria-Geral da União (</w:t>
      </w:r>
      <w:hyperlink r:id="rId12">
        <w:r>
          <w:rPr>
            <w:rStyle w:val="LinkdaInternet"/>
            <w:rFonts w:ascii="Times New Roman" w:hAnsi="Times New Roman" w:cs="Arial"/>
            <w:color w:val="000000"/>
            <w:lang w:eastAsia="ar-SA"/>
          </w:rPr>
          <w:t>www.portaldatransparencia.gov.br/ceis</w:t>
        </w:r>
      </w:hyperlink>
      <w:r>
        <w:rPr>
          <w:rFonts w:ascii="Times New Roman" w:hAnsi="Times New Roman" w:cs="Arial"/>
          <w:color w:val="000000"/>
          <w:lang w:eastAsia="ar-SA"/>
        </w:rPr>
        <w:t xml:space="preserve">);  </w:t>
      </w:r>
    </w:p>
    <w:p w14:paraId="4DBCC0B0" w14:textId="77777777" w:rsidR="00624D44" w:rsidRDefault="008341FE">
      <w:pPr>
        <w:pStyle w:val="PargrafodaLista"/>
        <w:spacing w:before="120" w:after="120" w:line="276" w:lineRule="auto"/>
        <w:ind w:left="1134"/>
        <w:jc w:val="both"/>
      </w:pPr>
      <w:r>
        <w:rPr>
          <w:rFonts w:ascii="Times New Roman" w:hAnsi="Times New Roman" w:cs="Arial"/>
          <w:color w:val="000000"/>
          <w:lang w:eastAsia="ar-SA"/>
        </w:rPr>
        <w:t>c) Cadastro Nacional de Empresas Punidas – CNEP, mantido pela Controladoria-Geral da União (</w:t>
      </w:r>
      <w:hyperlink r:id="rId13">
        <w:r>
          <w:rPr>
            <w:rStyle w:val="LinkdaInternet"/>
            <w:rFonts w:ascii="Times New Roman" w:hAnsi="Times New Roman" w:cs="Arial"/>
            <w:color w:val="000000"/>
            <w:lang w:eastAsia="ar-SA"/>
          </w:rPr>
          <w:t>https://www.portaltransparencia.gov.br/sancoes/cnep</w:t>
        </w:r>
      </w:hyperlink>
      <w:r>
        <w:rPr>
          <w:rFonts w:ascii="Times New Roman" w:hAnsi="Times New Roman" w:cs="Arial"/>
          <w:color w:val="000000"/>
          <w:lang w:eastAsia="ar-SA"/>
        </w:rPr>
        <w:t>)</w:t>
      </w:r>
    </w:p>
    <w:p w14:paraId="5D390371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A consulta aos cadastros será realizada em nome da empresa fornecedora e também de seu sócio majoritário, por força do artigo 12 da Lei n° 8.429, de 1992, que prev</w:t>
      </w:r>
      <w:r>
        <w:rPr>
          <w:rFonts w:ascii="Times New Roman" w:hAnsi="Times New Roman"/>
        </w:rPr>
        <w:t>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F45E847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Caso conste na Consulta de </w:t>
      </w:r>
      <w:r>
        <w:rPr>
          <w:rFonts w:ascii="Times New Roman" w:hAnsi="Times New Roman"/>
        </w:rPr>
        <w:t>Situação do Fornecedor a existência de Ocorrências Impeditivas Indiretas, o gestor diligenciará para verificar se houve fraude por parte das empresas apontadas no Relatório de Ocorrências Impeditivas Indiretas.</w:t>
      </w:r>
    </w:p>
    <w:p w14:paraId="67ECF103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A tentativa de burla será verificada por meio</w:t>
      </w:r>
      <w:r>
        <w:rPr>
          <w:rFonts w:ascii="Times New Roman" w:hAnsi="Times New Roman"/>
        </w:rPr>
        <w:t xml:space="preserve"> dos vínculos societários, linhas de fornecimento similares, dentre outros.</w:t>
      </w:r>
    </w:p>
    <w:p w14:paraId="07E6FECC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O fornecedor será convocado para manifestação previamente a uma eventual negativa de contratação.</w:t>
      </w:r>
    </w:p>
    <w:p w14:paraId="43C99181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Caso atendidas as condições para contratação, a habilitação do fornecedor será ver</w:t>
      </w:r>
      <w:r>
        <w:rPr>
          <w:rFonts w:ascii="Times New Roman" w:hAnsi="Times New Roman"/>
        </w:rPr>
        <w:t>ificada por meio do SICAF, nos documentos por ele abrangidos.</w:t>
      </w:r>
    </w:p>
    <w:p w14:paraId="26DFE0F3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É dever do fornecedor manter atualizada a respectiva documentação constante do SICAF, ou encaminhar, quando solicitado pela Administração, a respectiva documentação atualizada.</w:t>
      </w:r>
    </w:p>
    <w:p w14:paraId="75C59102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Não serão aceitos</w:t>
      </w:r>
      <w:r>
        <w:rPr>
          <w:rFonts w:ascii="Times New Roman" w:hAnsi="Times New Roman"/>
        </w:rPr>
        <w:t xml:space="preserve"> documentos de habilitação com indicação de CNPJ/CPF diferentes, salvo aqueles legalmente permitidos.</w:t>
      </w:r>
    </w:p>
    <w:p w14:paraId="3758E58D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Se o fornecedor for a matriz, todos os documentos deverão estar em nome da matriz, e se o fornecedor for a filial, todos os documentos deverão estar em no</w:t>
      </w:r>
      <w:r>
        <w:rPr>
          <w:rFonts w:ascii="Times New Roman" w:hAnsi="Times New Roman"/>
        </w:rPr>
        <w:t>me da filial, exceto para atestados de capacidade técnica, caso exigidos, e no caso daqueles documentos que, pela própria natureza, comprovadamente, forem emitidos somente em nome da matriz.</w:t>
      </w:r>
    </w:p>
    <w:p w14:paraId="686B1462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Serão aceitos registros de CNPJ de fornecedor matriz e filial com</w:t>
      </w:r>
      <w:r>
        <w:rPr>
          <w:rFonts w:ascii="Times New Roman" w:hAnsi="Times New Roman"/>
        </w:rPr>
        <w:t xml:space="preserve"> diferenças de números de documentos pertinentes ao CND e ao CRF/FGTS, quando for comprovada a centralização do recolhimento dessas contribuições.</w:t>
      </w:r>
    </w:p>
    <w:p w14:paraId="6EF9DC59" w14:textId="77777777" w:rsidR="00624D44" w:rsidRDefault="008341FE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Para fins de contratação, deverá o fornecedor comprovar os seguintes requisitos de habilitação:</w:t>
      </w:r>
    </w:p>
    <w:p w14:paraId="02873FFE" w14:textId="77777777" w:rsidR="00624D44" w:rsidRDefault="008341FE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>Habilitação J</w:t>
      </w:r>
      <w:r>
        <w:rPr>
          <w:rFonts w:ascii="Times New Roman" w:hAnsi="Times New Roman" w:cs="Arial"/>
          <w:b/>
          <w:color w:val="000000"/>
        </w:rPr>
        <w:t>urídica</w:t>
      </w:r>
      <w:r>
        <w:rPr>
          <w:rFonts w:ascii="Times New Roman" w:hAnsi="Times New Roman" w:cs="Arial"/>
          <w:b/>
          <w:bCs/>
          <w:color w:val="000000"/>
        </w:rPr>
        <w:t xml:space="preserve">: </w:t>
      </w:r>
    </w:p>
    <w:p w14:paraId="19AE97EB" w14:textId="77777777" w:rsidR="00624D44" w:rsidRDefault="008341FE">
      <w:pPr>
        <w:numPr>
          <w:ilvl w:val="2"/>
          <w:numId w:val="1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>Pessoa física:</w:t>
      </w:r>
      <w:r>
        <w:rPr>
          <w:rFonts w:ascii="Times New Roman" w:hAnsi="Times New Roman" w:cs="Arial"/>
          <w:color w:val="000000"/>
        </w:rPr>
        <w:t xml:space="preserve"> cédula de identidade (RG) ou documento equivalente que, por força de lei, tenha validade para fins de identificação em todo o território nacional;  </w:t>
      </w:r>
    </w:p>
    <w:p w14:paraId="5A06BF08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4FDB6A46" w14:textId="77777777" w:rsidR="00624D44" w:rsidRDefault="00624D44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</w:p>
    <w:p w14:paraId="2F88ED80" w14:textId="77777777" w:rsidR="00624D44" w:rsidRDefault="008341FE">
      <w:pPr>
        <w:numPr>
          <w:ilvl w:val="2"/>
          <w:numId w:val="3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>Empresário individual</w:t>
      </w:r>
      <w:r>
        <w:rPr>
          <w:rFonts w:ascii="Times New Roman" w:hAnsi="Times New Roman" w:cs="Arial"/>
          <w:color w:val="000000"/>
        </w:rPr>
        <w:t>: inscrição no Registro Público de Empresas Mercantis, a cargo da Junta Comercia</w:t>
      </w:r>
      <w:r>
        <w:rPr>
          <w:rFonts w:ascii="Times New Roman" w:hAnsi="Times New Roman" w:cs="Arial"/>
          <w:color w:val="000000"/>
        </w:rPr>
        <w:t xml:space="preserve">l da respectiva sede; </w:t>
      </w:r>
    </w:p>
    <w:p w14:paraId="330C1AD2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726DC387" w14:textId="77777777" w:rsidR="00624D44" w:rsidRDefault="008341FE">
      <w:pPr>
        <w:numPr>
          <w:ilvl w:val="2"/>
          <w:numId w:val="17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Microempreendedor Individual - MEI</w:t>
      </w:r>
      <w:r>
        <w:rPr>
          <w:rFonts w:ascii="Times New Roman" w:hAnsi="Times New Roman" w:cs="Arial"/>
          <w:color w:val="000000"/>
        </w:rPr>
        <w:t xml:space="preserve">: Certificado da Condição de Microempreendedor Individual - CCMEI, cuja aceitação ficará condicionada à verificação da autenticidade no sítio </w:t>
      </w:r>
      <w:hyperlink r:id="rId14">
        <w:r>
          <w:rPr>
            <w:rStyle w:val="LinkdaInternet"/>
            <w:rFonts w:ascii="Times New Roman" w:hAnsi="Times New Roman" w:cs="Arial"/>
            <w:color w:val="000000"/>
          </w:rPr>
          <w:t>www.portaldoempreendedor.gov.br</w:t>
        </w:r>
      </w:hyperlink>
      <w:r>
        <w:rPr>
          <w:rFonts w:ascii="Times New Roman" w:hAnsi="Times New Roman" w:cs="Arial"/>
          <w:color w:val="000000"/>
        </w:rPr>
        <w:t xml:space="preserve">; </w:t>
      </w:r>
    </w:p>
    <w:p w14:paraId="77F2F8B1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lastRenderedPageBreak/>
        <w:t xml:space="preserve">OU </w:t>
      </w:r>
    </w:p>
    <w:p w14:paraId="3F3B98CF" w14:textId="77777777" w:rsidR="00624D44" w:rsidRDefault="008341FE">
      <w:pPr>
        <w:numPr>
          <w:ilvl w:val="2"/>
          <w:numId w:val="18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>Sociedade empresária, sociedade limitada unipessoal – SLU ou sociedade identificada como empresa individual de responsabilidade limitada - EIRELI</w:t>
      </w:r>
      <w:r>
        <w:rPr>
          <w:rFonts w:ascii="Times New Roman" w:hAnsi="Times New Roman" w:cs="Arial"/>
          <w:color w:val="000000"/>
        </w:rPr>
        <w:t xml:space="preserve">: inscrição do ato </w:t>
      </w:r>
      <w:r>
        <w:rPr>
          <w:rFonts w:ascii="Times New Roman" w:hAnsi="Times New Roman" w:cs="Arial"/>
          <w:color w:val="000000"/>
        </w:rPr>
        <w:t>constitutivo, estatuto ou contrato social no Registro Público de Empresas Mercantis, a cargo da Junta Comercial da respectiva sede, acompanhada de documento comprobatório de seus administradores;</w:t>
      </w:r>
    </w:p>
    <w:p w14:paraId="6C621670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0A03AD58" w14:textId="77777777" w:rsidR="00624D44" w:rsidRDefault="008341FE">
      <w:pPr>
        <w:numPr>
          <w:ilvl w:val="2"/>
          <w:numId w:val="19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 xml:space="preserve">Sociedade empresária estrangeira com atuação permanente </w:t>
      </w:r>
      <w:r>
        <w:rPr>
          <w:rFonts w:ascii="Times New Roman" w:hAnsi="Times New Roman" w:cs="Arial"/>
          <w:b/>
          <w:color w:val="000000"/>
        </w:rPr>
        <w:t>no País</w:t>
      </w:r>
      <w:r>
        <w:rPr>
          <w:rFonts w:ascii="Times New Roman" w:hAnsi="Times New Roman" w:cs="Arial"/>
          <w:color w:val="000000"/>
        </w:rPr>
        <w:t>: decreto de autorização para funcionamento no Brasil;</w:t>
      </w:r>
    </w:p>
    <w:p w14:paraId="4A1DB6C0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70F8BCE9" w14:textId="77777777" w:rsidR="00624D44" w:rsidRDefault="008341FE">
      <w:pPr>
        <w:numPr>
          <w:ilvl w:val="2"/>
          <w:numId w:val="6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>Sociedade simples</w:t>
      </w:r>
      <w:r>
        <w:rPr>
          <w:rFonts w:ascii="Times New Roman" w:hAnsi="Times New Roman" w:cs="Arial"/>
          <w:color w:val="000000"/>
        </w:rPr>
        <w:t>: inscrição do ato constitutivo no Registro Civil de Pessoas Jurídicas do local de sua sede, acompanhada de documento comprobatório de seus administradores;</w:t>
      </w:r>
    </w:p>
    <w:p w14:paraId="11743CB2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33492A7E" w14:textId="77777777" w:rsidR="00624D44" w:rsidRDefault="008341FE">
      <w:pPr>
        <w:numPr>
          <w:ilvl w:val="2"/>
          <w:numId w:val="7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color w:val="000000"/>
        </w:rPr>
        <w:t>Filial, sucu</w:t>
      </w:r>
      <w:r>
        <w:rPr>
          <w:rFonts w:ascii="Times New Roman" w:hAnsi="Times New Roman" w:cs="Arial"/>
          <w:b/>
          <w:color w:val="000000"/>
        </w:rPr>
        <w:t>rsal ou agência</w:t>
      </w:r>
      <w:r>
        <w:rPr>
          <w:rFonts w:ascii="Times New Roman" w:hAnsi="Times New Roman" w:cs="Arial"/>
          <w:color w:val="000000"/>
        </w:rPr>
        <w:t xml:space="preserve"> </w:t>
      </w:r>
      <w:r>
        <w:rPr>
          <w:rFonts w:ascii="Times New Roman" w:hAnsi="Times New Roman" w:cs="Arial"/>
          <w:b/>
          <w:color w:val="000000"/>
        </w:rPr>
        <w:t>de sociedade simples ou empresária</w:t>
      </w:r>
      <w:r>
        <w:rPr>
          <w:rFonts w:ascii="Times New Roman" w:hAnsi="Times New Roman" w:cs="Arial"/>
          <w:color w:val="000000"/>
        </w:rPr>
        <w:t xml:space="preserve"> - inscrição do ato constitutivo da filial, sucursal ou agência da sociedade simples ou empresária, respectivamente, no Registro Civil das Pessoas Jurídicas ou no Registro Público de Empresas Mercantis onde</w:t>
      </w:r>
      <w:r>
        <w:rPr>
          <w:rFonts w:ascii="Times New Roman" w:hAnsi="Times New Roman" w:cs="Arial"/>
          <w:color w:val="000000"/>
        </w:rPr>
        <w:t xml:space="preserve"> tem sede a matriz;</w:t>
      </w:r>
    </w:p>
    <w:p w14:paraId="18EFF599" w14:textId="77777777" w:rsidR="00624D44" w:rsidRDefault="008341FE">
      <w:pPr>
        <w:numPr>
          <w:ilvl w:val="2"/>
          <w:numId w:val="7"/>
        </w:numPr>
        <w:spacing w:before="120" w:after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Cs/>
          <w:color w:val="000000"/>
        </w:rPr>
        <w:t xml:space="preserve">Os </w:t>
      </w:r>
      <w:r>
        <w:rPr>
          <w:rFonts w:ascii="Times New Roman" w:hAnsi="Times New Roman" w:cs="Arial"/>
          <w:color w:val="000000"/>
        </w:rPr>
        <w:t>documentos</w:t>
      </w:r>
      <w:r>
        <w:rPr>
          <w:rFonts w:ascii="Times New Roman" w:hAnsi="Times New Roman" w:cs="Arial"/>
          <w:bCs/>
          <w:color w:val="000000"/>
        </w:rPr>
        <w:t xml:space="preserve"> apresentados deverão estar acompanhados de todas as alterações ou da consolidação respectiva.</w:t>
      </w:r>
    </w:p>
    <w:p w14:paraId="48ADAF8B" w14:textId="77777777" w:rsidR="00624D44" w:rsidRDefault="008341FE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color w:val="000000"/>
        </w:rPr>
      </w:pPr>
      <w:r>
        <w:rPr>
          <w:rFonts w:ascii="Times New Roman" w:hAnsi="Times New Roman" w:cs="Arial"/>
          <w:b/>
          <w:color w:val="000000"/>
        </w:rPr>
        <w:t>Habilitações fiscal, social e trabalhista:</w:t>
      </w:r>
    </w:p>
    <w:p w14:paraId="4A3453D8" w14:textId="77777777" w:rsidR="00624D44" w:rsidRDefault="008341FE">
      <w:pPr>
        <w:numPr>
          <w:ilvl w:val="2"/>
          <w:numId w:val="7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prova de inscrição no Cadastro de Pessoas Físicas (CPF);</w:t>
      </w:r>
    </w:p>
    <w:p w14:paraId="548151F8" w14:textId="77777777" w:rsidR="00624D44" w:rsidRDefault="008341FE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00328265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prova de </w:t>
      </w:r>
      <w:r>
        <w:rPr>
          <w:rFonts w:ascii="Times New Roman" w:hAnsi="Times New Roman" w:cs="Arial"/>
          <w:color w:val="000000"/>
        </w:rPr>
        <w:t>inscrição no Cadastro Nacional da Pessoa Jurídica (CNPJ);</w:t>
      </w:r>
    </w:p>
    <w:p w14:paraId="2CC1145D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prova de regularidade fiscal perante a Fazenda Nacional, mediante apresentação de certidão expedida conjuntamente pela Secretaria da Receita Federal do Brasil (RFB) e pela Procuradoria-Geral da Faze</w:t>
      </w:r>
      <w:r>
        <w:rPr>
          <w:rFonts w:ascii="Times New Roman" w:hAnsi="Times New Roman" w:cs="Arial"/>
          <w:color w:val="000000"/>
        </w:rPr>
        <w:t>nda Nacional (PGFN), referente a todos os créditos tributários federais e à Dívida Ativa da União (DAU) por elas administrados, inclusive aqueles relativos à Seguridade Social, nos termos da Portaria Conjunta nº 1.751, de 02/10/2014, do Secretário da Recei</w:t>
      </w:r>
      <w:r>
        <w:rPr>
          <w:rFonts w:ascii="Times New Roman" w:hAnsi="Times New Roman" w:cs="Arial"/>
          <w:color w:val="000000"/>
        </w:rPr>
        <w:t>ta Federal do Brasil e da Procuradora-Geral da Fazenda Nacional.</w:t>
      </w:r>
    </w:p>
    <w:p w14:paraId="06370C0E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prova de regularidade com o Fundo de Garantia do Tempo de Serviço (FGTS);</w:t>
      </w:r>
    </w:p>
    <w:p w14:paraId="08D635E7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declaração de que não emprega menor de 18 anos em trabalho noturno, perigoso ou insalubre e não emprega menor de 16 a</w:t>
      </w:r>
      <w:r>
        <w:rPr>
          <w:rFonts w:ascii="Times New Roman" w:hAnsi="Times New Roman" w:cs="Arial"/>
          <w:color w:val="000000"/>
        </w:rPr>
        <w:t>nos, salvo menor, a partir de 14 anos, na condição de aprendiz, nos termos do artigo 7°, XXXIII, da Constituição;</w:t>
      </w:r>
    </w:p>
    <w:p w14:paraId="1CDE96F8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prova de inexistência de débitos inadimplidos perante a Justiça do Trabalho, mediante a apresentação de certidão negativa ou positiva com efei</w:t>
      </w:r>
      <w:r>
        <w:rPr>
          <w:rFonts w:ascii="Times New Roman" w:hAnsi="Times New Roman" w:cs="Arial"/>
          <w:color w:val="000000"/>
        </w:rPr>
        <w:t>to de negativa, nos termos do Título VII-A da Consolidação das Leis do Trabalho, aprovada pelo Decreto-Lei nº 5.452, de 1º de maio de 1943.</w:t>
      </w:r>
    </w:p>
    <w:p w14:paraId="2252567A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>prova de inscrição no cadastro de contribuintes estadual, se houver, relativo ao domicílio ou sede do fornecedor, pe</w:t>
      </w:r>
      <w:r>
        <w:rPr>
          <w:rFonts w:ascii="Times New Roman" w:hAnsi="Times New Roman" w:cs="Arial"/>
          <w:color w:val="000000"/>
        </w:rPr>
        <w:t xml:space="preserve">rtinente ao seu ramo de atividade e compatível com o objeto contratual; </w:t>
      </w:r>
    </w:p>
    <w:p w14:paraId="4BCC4A81" w14:textId="77777777" w:rsidR="00624D44" w:rsidRDefault="008341FE">
      <w:pPr>
        <w:numPr>
          <w:ilvl w:val="3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lastRenderedPageBreak/>
        <w:t>O fornecedor enquadrado como microempreendedor individual que pretenda auferir os benefícios do tratamento diferenciado previstos na Lei Complementar n. 123, de 2006, estará dispensad</w:t>
      </w:r>
      <w:r>
        <w:rPr>
          <w:rFonts w:ascii="Times New Roman" w:hAnsi="Times New Roman" w:cs="Arial"/>
          <w:color w:val="000000"/>
        </w:rPr>
        <w:t>o da prova de inscrição nos cadastros de contribuintes estadual e municipal.</w:t>
      </w:r>
    </w:p>
    <w:p w14:paraId="77531BF0" w14:textId="77777777" w:rsidR="00624D44" w:rsidRDefault="008341FE">
      <w:pPr>
        <w:numPr>
          <w:ilvl w:val="2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prova de regularidade com a Fazenda Estadual ou Distrital do domicílio ou sede do fornecedor, relativa à atividade em cujo exercício contrata ou concorre; </w:t>
      </w:r>
    </w:p>
    <w:p w14:paraId="4A63C7AA" w14:textId="77777777" w:rsidR="00624D44" w:rsidRDefault="008341FE">
      <w:pPr>
        <w:numPr>
          <w:ilvl w:val="3"/>
          <w:numId w:val="8"/>
        </w:numPr>
        <w:spacing w:before="120" w:after="120" w:line="276" w:lineRule="auto"/>
        <w:jc w:val="both"/>
        <w:rPr>
          <w:rFonts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caso o fornecedor seja </w:t>
      </w:r>
      <w:r>
        <w:rPr>
          <w:rFonts w:ascii="Times New Roman" w:hAnsi="Times New Roman" w:cs="Arial"/>
          <w:color w:val="000000"/>
        </w:rPr>
        <w:t>considerado isento dos tributos estaduais ou distritais relacionados ao objeto, deverá comprovar tal condição mediante a apresentação de certidão ou declaração da Fazenda respectiva do seu domicílio ou sede, ou por meio de outro documento equivalente, na f</w:t>
      </w:r>
      <w:r>
        <w:rPr>
          <w:rFonts w:ascii="Times New Roman" w:hAnsi="Times New Roman" w:cs="Arial"/>
          <w:color w:val="000000"/>
        </w:rPr>
        <w:t>orma da respectiva legislação de regência.</w:t>
      </w:r>
    </w:p>
    <w:p w14:paraId="70EF99CC" w14:textId="77777777" w:rsidR="00624D44" w:rsidRDefault="008341FE">
      <w:pPr>
        <w:pStyle w:val="Nivel1"/>
        <w:numPr>
          <w:ilvl w:val="0"/>
          <w:numId w:val="1"/>
        </w:numPr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ADEQUAÇÃO ORÇAMENTÁRIA </w:t>
      </w:r>
    </w:p>
    <w:p w14:paraId="32EC2D88" w14:textId="77777777" w:rsidR="00624D44" w:rsidRDefault="008341FE">
      <w:pPr>
        <w:pStyle w:val="PargrafodaLista"/>
        <w:numPr>
          <w:ilvl w:val="1"/>
          <w:numId w:val="16"/>
        </w:numPr>
        <w:spacing w:after="0" w:line="276" w:lineRule="auto"/>
        <w:jc w:val="both"/>
        <w:rPr>
          <w:rFonts w:cs="Arial"/>
        </w:rPr>
      </w:pPr>
      <w:r>
        <w:rPr>
          <w:rFonts w:ascii="Times New Roman" w:hAnsi="Times New Roman" w:cs="Arial"/>
        </w:rPr>
        <w:t>As despesas decorrentes da presente contratação correrão à conta de recursos específicos consignados no Orçamento Geral da União.</w:t>
      </w:r>
    </w:p>
    <w:p w14:paraId="299B8F27" w14:textId="77777777" w:rsidR="00624D44" w:rsidRDefault="00624D44">
      <w:pPr>
        <w:spacing w:after="0" w:line="276" w:lineRule="auto"/>
        <w:jc w:val="both"/>
        <w:rPr>
          <w:rFonts w:ascii="Times New Roman" w:hAnsi="Times New Roman" w:cs="Arial"/>
          <w:bCs/>
          <w:color w:val="FF0000"/>
        </w:rPr>
      </w:pPr>
    </w:p>
    <w:p w14:paraId="4FCF8F5A" w14:textId="77777777" w:rsidR="00624D44" w:rsidRDefault="008341FE">
      <w:pPr>
        <w:pStyle w:val="PargrafodaLista"/>
        <w:numPr>
          <w:ilvl w:val="1"/>
          <w:numId w:val="16"/>
        </w:numPr>
        <w:spacing w:after="0" w:line="276" w:lineRule="auto"/>
        <w:jc w:val="both"/>
        <w:rPr>
          <w:rFonts w:cs="Arial"/>
          <w:color w:val="000000"/>
        </w:rPr>
      </w:pPr>
      <w:bookmarkStart w:id="13" w:name="_Hlk82473550"/>
      <w:bookmarkEnd w:id="13"/>
      <w:r>
        <w:rPr>
          <w:rFonts w:ascii="Times New Roman" w:hAnsi="Times New Roman" w:cs="Arial"/>
          <w:color w:val="000000"/>
        </w:rPr>
        <w:t xml:space="preserve">A dotação relativa aos exercícios financeiros </w:t>
      </w:r>
      <w:r>
        <w:rPr>
          <w:rFonts w:ascii="Times New Roman" w:hAnsi="Times New Roman" w:cs="Arial"/>
          <w:color w:val="000000"/>
        </w:rPr>
        <w:t>subsequentes será indicada após aprovação da Lei Orçamentária respectiva e liberação dos créditos correspondentes, mediante apostilamento.</w:t>
      </w:r>
    </w:p>
    <w:p w14:paraId="68BB54C5" w14:textId="77777777" w:rsidR="00624D44" w:rsidRDefault="008341FE">
      <w:pPr>
        <w:spacing w:after="360"/>
        <w:rPr>
          <w:rFonts w:ascii="Times New Roman" w:hAnsi="Times New Roman"/>
        </w:rPr>
      </w:pPr>
      <w:r>
        <w:rPr>
          <w:rFonts w:ascii="Times New Roman" w:hAnsi="Times New Roman" w:cs="Arial"/>
          <w:color w:val="000000"/>
        </w:rPr>
        <w:tab/>
        <w:t xml:space="preserve">Rio de Janeiro, </w:t>
      </w:r>
      <w:r>
        <w:rPr>
          <w:rFonts w:ascii="Times New Roman" w:hAnsi="Times New Roman" w:cs="Arial"/>
          <w:color w:val="000000"/>
        </w:rPr>
        <w:t>07</w:t>
      </w:r>
      <w:r>
        <w:rPr>
          <w:rFonts w:ascii="Times New Roman" w:hAnsi="Times New Roman" w:cs="Arial"/>
          <w:color w:val="000000"/>
        </w:rPr>
        <w:t xml:space="preserve"> de </w:t>
      </w:r>
      <w:r>
        <w:rPr>
          <w:rFonts w:ascii="Times New Roman" w:hAnsi="Times New Roman" w:cs="Arial"/>
          <w:color w:val="000000"/>
        </w:rPr>
        <w:t>março</w:t>
      </w:r>
      <w:r>
        <w:rPr>
          <w:rFonts w:ascii="Times New Roman" w:hAnsi="Times New Roman" w:cs="Arial"/>
          <w:color w:val="000000"/>
        </w:rPr>
        <w:t xml:space="preserve"> de 2023. </w:t>
      </w:r>
    </w:p>
    <w:p w14:paraId="75B00B0A" w14:textId="77777777" w:rsidR="00624D44" w:rsidRDefault="008341FE">
      <w:pPr>
        <w:spacing w:after="0" w:line="360" w:lineRule="auto"/>
        <w:rPr>
          <w:rFonts w:cs="Arial"/>
        </w:rPr>
      </w:pPr>
      <w:r>
        <w:rPr>
          <w:rFonts w:ascii="Times New Roman" w:hAnsi="Times New Roman" w:cs="Arial"/>
        </w:rPr>
        <w:t>____________________________________</w:t>
      </w:r>
    </w:p>
    <w:p w14:paraId="7DA47A09" w14:textId="77777777" w:rsidR="00624D44" w:rsidRDefault="008341FE">
      <w:pPr>
        <w:spacing w:after="0" w:line="360" w:lineRule="auto"/>
        <w:rPr>
          <w:rFonts w:cs="Arial"/>
          <w:b/>
          <w:bCs/>
          <w:color w:val="000000"/>
        </w:rPr>
      </w:pPr>
      <w:r>
        <w:rPr>
          <w:rFonts w:ascii="Times New Roman" w:hAnsi="Times New Roman" w:cs="Arial"/>
          <w:b/>
          <w:bCs/>
          <w:color w:val="000000"/>
        </w:rPr>
        <w:t xml:space="preserve">FÁBIO BRAZÃO DE MIRANDA – 1º </w:t>
      </w:r>
      <w:proofErr w:type="spellStart"/>
      <w:r>
        <w:rPr>
          <w:rFonts w:ascii="Times New Roman" w:hAnsi="Times New Roman" w:cs="Arial"/>
          <w:b/>
          <w:bCs/>
          <w:color w:val="000000"/>
        </w:rPr>
        <w:t>Ten</w:t>
      </w:r>
      <w:proofErr w:type="spellEnd"/>
    </w:p>
    <w:sectPr w:rsidR="00624D44">
      <w:footerReference w:type="default" r:id="rId15"/>
      <w:pgSz w:w="11906" w:h="16838"/>
      <w:pgMar w:top="1701" w:right="1134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8E7EA" w14:textId="77777777" w:rsidR="00000000" w:rsidRDefault="008341FE">
      <w:pPr>
        <w:spacing w:after="0" w:line="240" w:lineRule="auto"/>
      </w:pPr>
      <w:r>
        <w:separator/>
      </w:r>
    </w:p>
  </w:endnote>
  <w:endnote w:type="continuationSeparator" w:id="0">
    <w:p w14:paraId="0C430529" w14:textId="77777777" w:rsidR="00000000" w:rsidRDefault="0083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3923" w14:textId="77777777" w:rsidR="00624D44" w:rsidRDefault="008341FE">
    <w:pPr>
      <w:pStyle w:val="Rodap"/>
      <w:rPr>
        <w:sz w:val="12"/>
        <w:szCs w:val="12"/>
      </w:rPr>
    </w:pPr>
    <w:r>
      <w:rPr>
        <w:sz w:val="12"/>
        <w:szCs w:val="12"/>
      </w:rPr>
      <w:t>Termo de Referência – Compras – Lei nº 14.133/21 – Contratação Direta</w:t>
    </w:r>
  </w:p>
  <w:p w14:paraId="32CFA47F" w14:textId="77777777" w:rsidR="00624D44" w:rsidRDefault="008341FE">
    <w:pPr>
      <w:pStyle w:val="Rodap"/>
      <w:rPr>
        <w:sz w:val="12"/>
        <w:szCs w:val="12"/>
      </w:rPr>
    </w:pPr>
    <w:r>
      <w:rPr>
        <w:sz w:val="12"/>
        <w:szCs w:val="12"/>
      </w:rPr>
      <w:t xml:space="preserve">Atualização: </w:t>
    </w:r>
    <w:proofErr w:type="gramStart"/>
    <w:r>
      <w:rPr>
        <w:sz w:val="12"/>
        <w:szCs w:val="12"/>
      </w:rPr>
      <w:t>Junho</w:t>
    </w:r>
    <w:proofErr w:type="gramEnd"/>
    <w:r>
      <w:rPr>
        <w:sz w:val="12"/>
        <w:szCs w:val="12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22290" w14:textId="77777777" w:rsidR="00000000" w:rsidRDefault="008341FE">
      <w:pPr>
        <w:spacing w:after="0" w:line="240" w:lineRule="auto"/>
      </w:pPr>
      <w:r>
        <w:separator/>
      </w:r>
    </w:p>
  </w:footnote>
  <w:footnote w:type="continuationSeparator" w:id="0">
    <w:p w14:paraId="779AF6C1" w14:textId="77777777" w:rsidR="00000000" w:rsidRDefault="00834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6367"/>
    <w:multiLevelType w:val="multilevel"/>
    <w:tmpl w:val="4662B550"/>
    <w:lvl w:ilvl="0">
      <w:start w:val="5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" w15:restartNumberingAfterBreak="0">
    <w:nsid w:val="113605CD"/>
    <w:multiLevelType w:val="multilevel"/>
    <w:tmpl w:val="819CC44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2" w15:restartNumberingAfterBreak="0">
    <w:nsid w:val="124C2EAB"/>
    <w:multiLevelType w:val="multilevel"/>
    <w:tmpl w:val="02C0EB8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3" w15:restartNumberingAfterBreak="0">
    <w:nsid w:val="14DE3953"/>
    <w:multiLevelType w:val="multilevel"/>
    <w:tmpl w:val="C91E061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4" w15:restartNumberingAfterBreak="0">
    <w:nsid w:val="174430BE"/>
    <w:multiLevelType w:val="multilevel"/>
    <w:tmpl w:val="40A2078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5" w15:restartNumberingAfterBreak="0">
    <w:nsid w:val="17A55C24"/>
    <w:multiLevelType w:val="multilevel"/>
    <w:tmpl w:val="36909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00000A"/>
        <w:sz w:val="2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E3E49F1"/>
    <w:multiLevelType w:val="multilevel"/>
    <w:tmpl w:val="CBDAE23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7" w15:restartNumberingAfterBreak="0">
    <w:nsid w:val="3D313F83"/>
    <w:multiLevelType w:val="multilevel"/>
    <w:tmpl w:val="A06CEA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061048E"/>
    <w:multiLevelType w:val="multilevel"/>
    <w:tmpl w:val="DCF43E4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9" w15:restartNumberingAfterBreak="0">
    <w:nsid w:val="47BE0628"/>
    <w:multiLevelType w:val="multilevel"/>
    <w:tmpl w:val="A78C3A68"/>
    <w:lvl w:ilvl="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0" w15:restartNumberingAfterBreak="0">
    <w:nsid w:val="52BD5E39"/>
    <w:multiLevelType w:val="multilevel"/>
    <w:tmpl w:val="D3A4DDC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1" w15:restartNumberingAfterBreak="0">
    <w:nsid w:val="531925F4"/>
    <w:multiLevelType w:val="multilevel"/>
    <w:tmpl w:val="659C9EEC"/>
    <w:lvl w:ilvl="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2" w15:restartNumberingAfterBreak="0">
    <w:nsid w:val="536108F4"/>
    <w:multiLevelType w:val="multilevel"/>
    <w:tmpl w:val="58EE16CA"/>
    <w:lvl w:ilvl="0">
      <w:start w:val="8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3" w15:restartNumberingAfterBreak="0">
    <w:nsid w:val="57D97AB4"/>
    <w:multiLevelType w:val="multilevel"/>
    <w:tmpl w:val="618CA4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4B659E8"/>
    <w:multiLevelType w:val="multilevel"/>
    <w:tmpl w:val="A73A02E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5" w15:restartNumberingAfterBreak="0">
    <w:nsid w:val="6FAD11A4"/>
    <w:multiLevelType w:val="multilevel"/>
    <w:tmpl w:val="F10A9FEE"/>
    <w:lvl w:ilvl="0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6" w15:restartNumberingAfterBreak="0">
    <w:nsid w:val="70D67F8D"/>
    <w:multiLevelType w:val="multilevel"/>
    <w:tmpl w:val="41DE34BE"/>
    <w:lvl w:ilvl="0">
      <w:start w:val="7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7" w15:restartNumberingAfterBreak="0">
    <w:nsid w:val="73AB463A"/>
    <w:multiLevelType w:val="multilevel"/>
    <w:tmpl w:val="A45E3F62"/>
    <w:lvl w:ilvl="0">
      <w:start w:val="9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8" w15:restartNumberingAfterBreak="0">
    <w:nsid w:val="7C5103A4"/>
    <w:multiLevelType w:val="multilevel"/>
    <w:tmpl w:val="B568D5B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9" w15:restartNumberingAfterBreak="0">
    <w:nsid w:val="7D5E4559"/>
    <w:multiLevelType w:val="multilevel"/>
    <w:tmpl w:val="5FDA91E8"/>
    <w:lvl w:ilvl="0">
      <w:start w:val="3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num w:numId="1" w16cid:durableId="576867185">
    <w:abstractNumId w:val="5"/>
  </w:num>
  <w:num w:numId="2" w16cid:durableId="1540044411">
    <w:abstractNumId w:val="7"/>
  </w:num>
  <w:num w:numId="3" w16cid:durableId="1079331217">
    <w:abstractNumId w:val="2"/>
  </w:num>
  <w:num w:numId="4" w16cid:durableId="221989555">
    <w:abstractNumId w:val="10"/>
  </w:num>
  <w:num w:numId="5" w16cid:durableId="666445821">
    <w:abstractNumId w:val="11"/>
  </w:num>
  <w:num w:numId="6" w16cid:durableId="1865555042">
    <w:abstractNumId w:val="4"/>
  </w:num>
  <w:num w:numId="7" w16cid:durableId="1660621919">
    <w:abstractNumId w:val="14"/>
  </w:num>
  <w:num w:numId="8" w16cid:durableId="944387364">
    <w:abstractNumId w:val="1"/>
  </w:num>
  <w:num w:numId="9" w16cid:durableId="1913849670">
    <w:abstractNumId w:val="3"/>
  </w:num>
  <w:num w:numId="10" w16cid:durableId="1258172640">
    <w:abstractNumId w:val="0"/>
  </w:num>
  <w:num w:numId="11" w16cid:durableId="1006517680">
    <w:abstractNumId w:val="9"/>
  </w:num>
  <w:num w:numId="12" w16cid:durableId="235626896">
    <w:abstractNumId w:val="15"/>
  </w:num>
  <w:num w:numId="13" w16cid:durableId="812873739">
    <w:abstractNumId w:val="19"/>
  </w:num>
  <w:num w:numId="14" w16cid:durableId="113212439">
    <w:abstractNumId w:val="16"/>
  </w:num>
  <w:num w:numId="15" w16cid:durableId="65225217">
    <w:abstractNumId w:val="12"/>
  </w:num>
  <w:num w:numId="16" w16cid:durableId="1520125928">
    <w:abstractNumId w:val="17"/>
  </w:num>
  <w:num w:numId="17" w16cid:durableId="650449028">
    <w:abstractNumId w:val="18"/>
  </w:num>
  <w:num w:numId="18" w16cid:durableId="957417272">
    <w:abstractNumId w:val="8"/>
  </w:num>
  <w:num w:numId="19" w16cid:durableId="853542490">
    <w:abstractNumId w:val="6"/>
  </w:num>
  <w:num w:numId="20" w16cid:durableId="9870549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D44"/>
    <w:rsid w:val="00624D44"/>
    <w:rsid w:val="0083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69AB"/>
  <w15:docId w15:val="{584D0CCE-DAC3-4568-8E42-B9A4B3C5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E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unhideWhenUsed/>
    <w:rsid w:val="00FE71E3"/>
    <w:rPr>
      <w:color w:val="000080"/>
      <w:u w:val="single"/>
    </w:rPr>
  </w:style>
  <w:style w:type="character" w:customStyle="1" w:styleId="CitaoChar">
    <w:name w:val="Citação Char"/>
    <w:basedOn w:val="Fontepargpadro"/>
    <w:link w:val="Citao"/>
    <w:qFormat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qFormat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char1">
    <w:name w:val="normal__char1"/>
    <w:qFormat/>
    <w:rsid w:val="00A45C14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unhideWhenUsed/>
    <w:qFormat/>
    <w:rsid w:val="0084366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43661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843661"/>
    <w:rPr>
      <w:b/>
      <w:bCs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qFormat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qFormat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markedcontent">
    <w:name w:val="markedcontent"/>
    <w:basedOn w:val="Fontepargpadro"/>
    <w:qFormat/>
    <w:rsid w:val="00BD4CAF"/>
  </w:style>
  <w:style w:type="character" w:customStyle="1" w:styleId="highlight">
    <w:name w:val="highlight"/>
    <w:basedOn w:val="Fontepargpadro"/>
    <w:qFormat/>
    <w:rsid w:val="00BD4CAF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307E84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FF4094"/>
    <w:rPr>
      <w:rFonts w:ascii="Arial" w:hAnsi="Arial" w:cs="Arial"/>
      <w:color w:val="000000"/>
    </w:rPr>
  </w:style>
  <w:style w:type="character" w:customStyle="1" w:styleId="citao2Char">
    <w:name w:val="citação 2 Char"/>
    <w:basedOn w:val="CitaoChar"/>
    <w:qFormat/>
    <w:rsid w:val="003E7046"/>
    <w:rPr>
      <w:rFonts w:ascii="Arial" w:eastAsia="Calibri" w:hAnsi="Arial" w:cs="Tahoma"/>
      <w:i/>
      <w:iCs/>
      <w:color w:val="000000"/>
      <w:kern w:val="2"/>
      <w:sz w:val="20"/>
      <w:szCs w:val="20"/>
      <w:shd w:val="clear" w:color="auto" w:fill="FFFFCC"/>
      <w:lang w:eastAsia="zh-CN" w:bidi="hi-I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73140B"/>
  </w:style>
  <w:style w:type="character" w:customStyle="1" w:styleId="RodapChar">
    <w:name w:val="Rodapé Char"/>
    <w:basedOn w:val="Fontepargpadro"/>
    <w:link w:val="Rodap"/>
    <w:uiPriority w:val="99"/>
    <w:qFormat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F57D61"/>
    <w:rPr>
      <w:color w:val="605E5C"/>
      <w:shd w:val="clear" w:color="auto" w:fill="E1DFDD"/>
    </w:rPr>
  </w:style>
  <w:style w:type="character" w:customStyle="1" w:styleId="lrzxr">
    <w:name w:val="lrzxr"/>
    <w:basedOn w:val="Fontepargpadro"/>
    <w:qFormat/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itao">
    <w:name w:val="Quote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spacing w:before="480" w:after="120" w:line="276" w:lineRule="auto"/>
      <w:jc w:val="both"/>
      <w:outlineLvl w:val="9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uiPriority w:val="34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E71E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qFormat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qFormat/>
    <w:rsid w:val="00BB36B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843661"/>
    <w:rPr>
      <w:b/>
      <w:bCs/>
    </w:rPr>
  </w:style>
  <w:style w:type="paragraph" w:customStyle="1" w:styleId="itemnivel2">
    <w:name w:val="item_nivel2"/>
    <w:basedOn w:val="Normal"/>
    <w:qFormat/>
    <w:rsid w:val="00400A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qFormat/>
    <w:rsid w:val="00400A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qFormat/>
    <w:rsid w:val="00400A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FF4094"/>
    <w:rPr>
      <w:rFonts w:ascii="Liberation Serif" w:eastAsia="NSimSun" w:hAnsi="Liberation Serif" w:cs="Lucida Sans"/>
      <w:color w:val="00000A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F4094"/>
    <w:pPr>
      <w:spacing w:after="140" w:line="276" w:lineRule="auto"/>
    </w:pPr>
  </w:style>
  <w:style w:type="paragraph" w:customStyle="1" w:styleId="citao2">
    <w:name w:val="citação 2"/>
    <w:basedOn w:val="Citao"/>
    <w:qFormat/>
    <w:rsid w:val="00FF4094"/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FF4094"/>
    <w:pPr>
      <w:tabs>
        <w:tab w:val="left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B53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ortaltransparencia.gov.br/sancoes/cne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ortaldatransparencia.gov.br/cei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rtaldoempreendedor.gov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37446F-06E5-46E0-84F0-A1DE8612EA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12</Pages>
  <Words>3903</Words>
  <Characters>21079</Characters>
  <Application>Microsoft Office Word</Application>
  <DocSecurity>0</DocSecurity>
  <Lines>175</Lines>
  <Paragraphs>49</Paragraphs>
  <ScaleCrop>false</ScaleCrop>
  <Company/>
  <LinksUpToDate>false</LinksUpToDate>
  <CharactersWithSpaces>24933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Ali Tarif</dc:creator>
  <dc:description/>
  <cp:lastModifiedBy>SLC-004</cp:lastModifiedBy>
  <cp:revision>102</cp:revision>
  <dcterms:created xsi:type="dcterms:W3CDTF">2022-07-02T17:53:00Z</dcterms:created>
  <dcterms:modified xsi:type="dcterms:W3CDTF">2023-03-17T12:54:00Z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